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行楷" w:eastAsia="华文行楷"/>
          <w:sz w:val="10"/>
          <w:szCs w:val="10"/>
          <w:lang w:eastAsia="zh-CN"/>
        </w:rPr>
      </w:pPr>
    </w:p>
    <w:p>
      <w:pPr>
        <w:jc w:val="both"/>
        <w:rPr>
          <w:rFonts w:hint="eastAsia" w:ascii="华文行楷" w:eastAsia="华文行楷"/>
          <w:sz w:val="10"/>
          <w:szCs w:val="10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10"/>
          <w:szCs w:val="10"/>
        </w:rPr>
      </w:pPr>
    </w:p>
    <w:p>
      <w:pPr>
        <w:jc w:val="center"/>
        <w:rPr>
          <w:rFonts w:hint="eastAsia" w:ascii="宋体" w:hAnsi="宋体" w:eastAsia="宋体" w:cs="宋体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100"/>
          <w:szCs w:val="100"/>
        </w:rPr>
      </w:pPr>
      <w:r>
        <w:rPr>
          <w:rFonts w:hint="eastAsia" w:asciiTheme="minorEastAsia" w:hAnsiTheme="minorEastAsia" w:eastAsiaTheme="minorEastAsia" w:cstheme="minorEastAsia"/>
          <w:sz w:val="100"/>
          <w:szCs w:val="100"/>
        </w:rPr>
        <w:t>教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jc w:val="center"/>
        <w:rPr>
          <w:rFonts w:hint="eastAsia" w:ascii="华文行楷" w:eastAsia="华文行楷" w:cs="华文行楷"/>
          <w:sz w:val="100"/>
          <w:szCs w:val="100"/>
        </w:rPr>
      </w:pPr>
      <w:r>
        <w:rPr>
          <w:rFonts w:hint="eastAsia" w:asciiTheme="minorEastAsia" w:hAnsiTheme="minorEastAsia" w:eastAsiaTheme="minorEastAsia" w:cstheme="minorEastAsia"/>
          <w:sz w:val="100"/>
          <w:szCs w:val="100"/>
        </w:rPr>
        <w:t>案</w:t>
      </w:r>
    </w:p>
    <w:p>
      <w:pPr>
        <w:jc w:val="both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ind w:left="840" w:leftChars="400" w:firstLine="313" w:firstLineChars="98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37.6pt;margin-top:31.2pt;height:0.05pt;width:191.2pt;z-index:251659264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ESP6zL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w:t>授课科目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城市轨道交通客运服务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  学    院：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7.6pt;margin-top:31.2pt;height:0.05pt;width:191.2pt;z-index:251660288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P5nHk7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授课教师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：   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37.6pt;margin-top:31.2pt;height:0.05pt;width:191.2pt;z-index:251661312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aEOcV2AAAAAkBAAAP&#10;AAAAAAAAAAEAIAAAACIAAABkcnMvZG93bnJldi54bWxQSwECFAAUAAAACACHTuJA8n8NaN8BAADc&#10;AwAADgAAAAAAAAABACAAAAAnAQAAZHJzL2Uyb0RvYy54bWxQSwUGAAAAAAYABgBZAQAAe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授课专业：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37.6pt;margin-top:31.2pt;height:0.05pt;width:191.2pt;z-index:251662336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Hj3tIz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城市轨道交通运营管理</w:t>
      </w: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/>
          <w:b/>
          <w:bCs/>
          <w:sz w:val="30"/>
          <w:szCs w:val="30"/>
        </w:rPr>
        <w:t>二○</w:t>
      </w:r>
      <w:r>
        <w:rPr>
          <w:rFonts w:hint="eastAsia" w:ascii="华文楷体" w:hAnsi="华文楷体" w:eastAsia="华文楷体"/>
          <w:b/>
          <w:bCs/>
          <w:sz w:val="30"/>
          <w:szCs w:val="30"/>
          <w:lang w:val="en-US" w:eastAsia="zh-CN"/>
        </w:rPr>
        <w:t>二一</w:t>
      </w:r>
      <w:r>
        <w:rPr>
          <w:rFonts w:hint="eastAsia" w:ascii="华文楷体" w:hAnsi="华文楷体" w:eastAsia="华文楷体"/>
          <w:b/>
          <w:bCs/>
          <w:sz w:val="30"/>
          <w:szCs w:val="30"/>
        </w:rPr>
        <w:t>年</w:t>
      </w:r>
      <w:r>
        <w:rPr>
          <w:rFonts w:hint="eastAsia" w:ascii="华文楷体" w:hAnsi="华文楷体" w:eastAsia="华文楷体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华文楷体" w:hAnsi="华文楷体" w:eastAsia="华文楷体"/>
          <w:b/>
          <w:bCs/>
          <w:sz w:val="30"/>
          <w:szCs w:val="30"/>
        </w:rPr>
        <w:t>月</w:t>
      </w:r>
    </w:p>
    <w:p>
      <w:pPr>
        <w:rPr>
          <w:rFonts w:hint="eastAsia" w:ascii="华文楷体" w:hAnsi="华文楷体" w:eastAsia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/>
          <w:b/>
          <w:bCs/>
          <w:sz w:val="30"/>
          <w:szCs w:val="30"/>
        </w:rPr>
        <w:br w:type="page"/>
      </w:r>
      <w:bookmarkStart w:id="0" w:name="_GoBack"/>
      <w:bookmarkEnd w:id="0"/>
    </w:p>
    <w:tbl>
      <w:tblPr>
        <w:tblStyle w:val="4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242"/>
        <w:gridCol w:w="1242"/>
        <w:gridCol w:w="535"/>
        <w:gridCol w:w="707"/>
        <w:gridCol w:w="1242"/>
        <w:gridCol w:w="519"/>
        <w:gridCol w:w="723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程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城市轨道交通客运服务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题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引导员、手检员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授课班级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城市轨道交通运营管理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授课人数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授课时数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课时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课程类型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必修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授课时间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2021年10月20日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次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第八周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标</w:t>
            </w:r>
          </w:p>
        </w:tc>
        <w:tc>
          <w:tcPr>
            <w:tcW w:w="8211" w:type="dxa"/>
            <w:gridSpan w:val="8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【知识目标】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掌握安检员引导岗的岗位职责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掌握安检员手检岗的岗位职责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3.掌握安检员手检岗的检查流程。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【能力目标】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能够理解安检员引导岗的岗位职责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能够理解安检员手检岗的岗位职责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3.熟练安检员手检岗的检查流程。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情感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目标】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1.培养规范的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引导岗和手检岗岗位知识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培养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严谨的工作态度；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培养熟练安检员手检岗的检查流程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安检员引导岗、手检岗的岗位职责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安检员手检岗的检查流程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教学方法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案例教学法、情景模拟法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小组讨论法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、任务驱动法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授课方式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多媒体课件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结合仿真软件实践操作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教学环节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课堂组织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课前小结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翻转课堂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任务教学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模拟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演练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总结反馈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时间分配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学习资源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平台：蓝墨云班课、智慧职教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资料：轨道交通安检员岗位标准、</w:t>
            </w:r>
            <w:r>
              <w:rPr>
                <w:rFonts w:hint="eastAsia"/>
                <w:sz w:val="24"/>
                <w:lang w:eastAsia="zh-CN"/>
              </w:rPr>
              <w:t>地铁公司《服务手册》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教学过程设计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8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一、课堂组织（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/>
                <w:sz w:val="24"/>
                <w:lang w:val="en-US" w:eastAsia="zh-CN"/>
              </w:rPr>
              <w:t>：云班课平台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签到方式</w:t>
            </w:r>
            <w:r>
              <w:rPr>
                <w:rFonts w:hint="eastAsia"/>
                <w:sz w:val="24"/>
                <w:lang w:val="en-US" w:eastAsia="zh-CN"/>
              </w:rPr>
              <w:t>：一分钟签到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班组会议</w:t>
            </w:r>
            <w:r>
              <w:rPr>
                <w:rFonts w:hint="eastAsia"/>
                <w:sz w:val="24"/>
                <w:lang w:val="en-US" w:eastAsia="zh-CN"/>
              </w:rPr>
              <w:t>：针对轨道交通“倒班制”的工作特点，模拟早、中班会，以班组为单位进行各班组会议，并完成会议记录。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二、课前小结（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测试</w:t>
            </w:r>
            <w:r>
              <w:rPr>
                <w:rFonts w:hint="eastAsia"/>
                <w:sz w:val="24"/>
                <w:lang w:val="en-US" w:eastAsia="zh-CN"/>
              </w:rPr>
              <w:t>：通过云班课平台进行课前测试，并生成成绩分析表。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回顾</w:t>
            </w:r>
            <w:r>
              <w:rPr>
                <w:rFonts w:hint="eastAsia"/>
                <w:sz w:val="24"/>
                <w:lang w:val="en-US" w:eastAsia="zh-CN"/>
              </w:rPr>
              <w:t>：回顾上节课学习内容，并抽问，进行课堂巩固。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翻转课堂</w:t>
            </w:r>
          </w:p>
          <w:p>
            <w:pPr>
              <w:numPr>
                <w:ilvl w:val="0"/>
                <w:numId w:val="2"/>
              </w:numPr>
              <w:ind w:left="481" w:leftChars="0" w:firstLine="0" w:firstLine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学生讲解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结合前课作业分组展示学生作品，学生根据所掌握的知识进行情况分析，讲解完毕教师进行总结分析。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互评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  <w:r>
              <w:rPr>
                <w:rFonts w:hint="eastAsia"/>
                <w:sz w:val="24"/>
              </w:rPr>
              <w:t>学生通过投票的形式进行</w:t>
            </w:r>
            <w:r>
              <w:rPr>
                <w:rFonts w:hint="eastAsia"/>
                <w:sz w:val="24"/>
                <w:lang w:eastAsia="zh-CN"/>
              </w:rPr>
              <w:t>小组</w:t>
            </w:r>
            <w:r>
              <w:rPr>
                <w:rFonts w:hint="eastAsia"/>
                <w:sz w:val="24"/>
              </w:rPr>
              <w:t>互评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ind w:left="481" w:leftChars="0" w:firstLine="0" w:firstLine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教师点拨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引导员工作流程：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1.在指挥员的领导下开展安检工作。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2.对乘客携带超长、超高、超大的物品（体积大于x 光机检测通道）；易碎物品（例如：玻璃器皿、丁艺品）；易损物品（食品、药品、电脑）；金属类工具及尖锐类等不宜机检的物品，要及时提醒乘客及手检员进行手检。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3.引导乘客配合安检。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4.遇特殊群体，包括残障人士、孕妇等提醒手检员进行手检。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5.及时、准确的发现可疑人、可疑物。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8" w:leftChars="228" w:firstLine="0" w:firstLineChars="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手检员职责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8" w:leftChars="228" w:firstLine="0" w:firstLineChars="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1.在指挥员的领导下开展工作。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8" w:leftChars="228" w:firstLine="0" w:firstLineChars="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2.对乘客携带超长、超高、超大的物品（体积大于 x 光机检测通道）；易碎物品（例如：玻璃器皿、丁艺品）；易损物品（食品、药品、电脑）；金属类工具及尖锐类等不宜机检的物品，及时进行手检。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8" w:leftChars="228" w:firstLine="0" w:firstLineChars="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3.检查中发现可疑物应及时向指挥员报告。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8" w:leftChars="228" w:firstLine="0" w:firstLineChars="0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4.负责各类安检设备的摆放及保管（手检设备选择安检桌的空白位置摆放整齐，防爆毯选择安检机周围不阻碍乘客的地放摆放，防尘罩叠好放入安检亭或放入安检机底部的适当位置）。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四、任务教学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设定两种不同情况下的任务：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任务一：认识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引导岗的工作流程；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任务二：认识</w:t>
            </w:r>
            <w:r>
              <w:rPr>
                <w:rFonts w:hint="eastAsia"/>
                <w:sz w:val="24"/>
                <w:lang w:val="en-US" w:eastAsia="zh-CN"/>
              </w:rPr>
              <w:t>手检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岗的工作流程；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思路：分小组集中讨论巡视具体内容及标准作业如何实施，确定巡视具体范围及要求。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五、模拟演练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sz w:val="24"/>
              </w:rPr>
              <w:t>拍摄手检员人身安全检查视频。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根据各组任务书所示情景分角色进行岗位实操，具体情节自拟，演绎乘客安检情景。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六、总结反馈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小组代表对本小组课堂表现进行自评，教师对各小组学生表现进行点评，并对本次学习任务进行总结</w:t>
            </w:r>
            <w:r>
              <w:rPr>
                <w:rFonts w:hint="eastAsia"/>
                <w:sz w:val="24"/>
                <w:lang w:eastAsia="zh-CN"/>
              </w:rPr>
              <w:t>反馈。</w:t>
            </w:r>
            <w:r>
              <w:rPr>
                <w:rFonts w:hint="eastAsia"/>
                <w:sz w:val="24"/>
              </w:rPr>
              <w:t>课后，</w:t>
            </w:r>
            <w:r>
              <w:rPr>
                <w:rFonts w:hint="eastAsia"/>
                <w:sz w:val="24"/>
                <w:lang w:eastAsia="zh-CN"/>
              </w:rPr>
              <w:t>学生在线对老师</w:t>
            </w:r>
            <w:r>
              <w:rPr>
                <w:rFonts w:hint="eastAsia"/>
                <w:sz w:val="24"/>
              </w:rPr>
              <w:t>点评，</w:t>
            </w:r>
            <w:r>
              <w:rPr>
                <w:rFonts w:hint="eastAsia"/>
                <w:sz w:val="24"/>
                <w:lang w:eastAsia="zh-CN"/>
              </w:rPr>
              <w:t>教师结合本堂课学生表现及数据收集进行教学反思。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课堂寄语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多听多看多学习</w:t>
            </w:r>
            <w:r>
              <w:rPr>
                <w:rFonts w:hint="eastAsia"/>
                <w:sz w:val="24"/>
              </w:rPr>
              <w:t>！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让同学们迅速进入学习状态。培养同学们在工作中的守时意识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将企业文化引入课堂、注入同学们的思想中。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课前小结，引导学生尽快进入学习状态，并承前启后，引出新课内容。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结合</w:t>
            </w:r>
            <w:r>
              <w:rPr>
                <w:rFonts w:hint="eastAsia"/>
                <w:sz w:val="24"/>
                <w:lang w:val="en-US" w:eastAsia="zh-CN"/>
              </w:rPr>
              <w:t>引导员的工作岗位内容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学习引导岗工作流程</w:t>
            </w:r>
            <w:r>
              <w:rPr>
                <w:rFonts w:hint="eastAsia"/>
                <w:sz w:val="24"/>
                <w:lang w:eastAsia="zh-CN"/>
              </w:rPr>
              <w:t>作业标准，突破教学重点。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结合</w:t>
            </w:r>
            <w:r>
              <w:rPr>
                <w:rFonts w:hint="eastAsia"/>
                <w:sz w:val="24"/>
                <w:lang w:val="en-US" w:eastAsia="zh-CN"/>
              </w:rPr>
              <w:t>手检员的工作岗位内容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学习手检s岗工作流程</w:t>
            </w:r>
            <w:r>
              <w:rPr>
                <w:rFonts w:hint="eastAsia"/>
                <w:sz w:val="24"/>
                <w:lang w:eastAsia="zh-CN"/>
              </w:rPr>
              <w:t>作业标准，突破教学重点。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仿真软件学流程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模拟演练增加学生兴趣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小组讨论，互相纠错，学生很感兴趣。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相互沟通交流，与学生相处和睦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教书更重育人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作业布置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ind w:firstLine="480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请同学们前往成都地铁参与志愿者活动，在过程中观察安检员工作流程，考虑如果是你，面对不同乘客拒检你会怎样处理。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板书设计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模块三：城市轨道交通自动售检票系统及票务处理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第二节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半自动售票机操作处理</w:t>
            </w:r>
            <w:r>
              <w:rPr>
                <w:rFonts w:hint="eastAsia"/>
                <w:sz w:val="24"/>
                <w:lang w:val="en-US" w:eastAsia="zh-CN"/>
              </w:rPr>
              <w:t>作业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一、课堂展示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二、引导岗、手检岗工作流程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三、任务教学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任务一：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掌握安检员引导岗的岗位职责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任务二：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掌握安检员手检岗的岗位职责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四、模拟演练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课堂情况及课后反思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学生对于直接间接流程是很反感的，并且讲完以后也不一定记得住，所以任务教学的方式对学生来讲能动性比较大，大家也比较感兴趣。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社会实践需要大家利用课下时间去完成，因此必须注意时刻联系班组组长，掌握学生动态，出行时间。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headerReference r:id="rId3" w:type="default"/>
      <w:pgSz w:w="11850" w:h="16783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EA6A0"/>
    <w:multiLevelType w:val="singleLevel"/>
    <w:tmpl w:val="BABEA6A0"/>
    <w:lvl w:ilvl="0" w:tentative="0">
      <w:start w:val="1"/>
      <w:numFmt w:val="decimal"/>
      <w:suff w:val="nothing"/>
      <w:lvlText w:val="%1、"/>
      <w:lvlJc w:val="left"/>
      <w:pPr>
        <w:ind w:left="481" w:leftChars="0" w:firstLine="0" w:firstLineChars="0"/>
      </w:pPr>
    </w:lvl>
  </w:abstractNum>
  <w:abstractNum w:abstractNumId="1">
    <w:nsid w:val="E38D4CEB"/>
    <w:multiLevelType w:val="singleLevel"/>
    <w:tmpl w:val="E38D4CE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E5A02"/>
    <w:rsid w:val="01042CDC"/>
    <w:rsid w:val="02CE37B7"/>
    <w:rsid w:val="0B1F1CB9"/>
    <w:rsid w:val="1CD5629F"/>
    <w:rsid w:val="24F34E23"/>
    <w:rsid w:val="277078DD"/>
    <w:rsid w:val="29393582"/>
    <w:rsid w:val="2BAC55EA"/>
    <w:rsid w:val="2CE4368D"/>
    <w:rsid w:val="2D6902C1"/>
    <w:rsid w:val="2E4267EF"/>
    <w:rsid w:val="2EBA1772"/>
    <w:rsid w:val="38342425"/>
    <w:rsid w:val="3A042A88"/>
    <w:rsid w:val="3AA04170"/>
    <w:rsid w:val="3C8B4B73"/>
    <w:rsid w:val="40CC5EB4"/>
    <w:rsid w:val="45D70097"/>
    <w:rsid w:val="470444B0"/>
    <w:rsid w:val="4C0622D9"/>
    <w:rsid w:val="4DEC6761"/>
    <w:rsid w:val="4E6D4BDC"/>
    <w:rsid w:val="579A2A57"/>
    <w:rsid w:val="5AA56282"/>
    <w:rsid w:val="618E5A02"/>
    <w:rsid w:val="62462472"/>
    <w:rsid w:val="66365BD5"/>
    <w:rsid w:val="687C1496"/>
    <w:rsid w:val="6C6E0C88"/>
    <w:rsid w:val="6DAD6C02"/>
    <w:rsid w:val="729D6DD6"/>
    <w:rsid w:val="77A405DB"/>
    <w:rsid w:val="7CEF2CBD"/>
    <w:rsid w:val="7D5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2019-07-16T08:37:00Z</dcterms:created>
  <dc:creator>sorrow笙</dc:creator>
  <cp:lastModifiedBy>吕宁</cp:lastModifiedBy>
  <dcterms:modified xsi:type="dcterms:W3CDTF">2021-11-05T06:11:01Z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4359E67E9EAB4CF48E93E98DF6B074C4</vt:lpwstr>
  </property>
</Properties>
</file>