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华文行楷" w:eastAsia="华文行楷"/>
          <w:sz w:val="10"/>
          <w:szCs w:val="10"/>
          <w:lang w:eastAsia="zh-CN"/>
        </w:rPr>
      </w:pPr>
    </w:p>
    <w:p>
      <w:pPr>
        <w:jc w:val="both"/>
        <w:rPr>
          <w:rFonts w:hint="eastAsia" w:ascii="华文行楷" w:eastAsia="华文行楷"/>
          <w:sz w:val="10"/>
          <w:szCs w:val="10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10"/>
          <w:szCs w:val="10"/>
        </w:rPr>
      </w:pPr>
    </w:p>
    <w:p>
      <w:pPr>
        <w:jc w:val="center"/>
        <w:rPr>
          <w:rFonts w:hint="eastAsia" w:ascii="宋体" w:hAnsi="宋体" w:eastAsia="宋体" w:cs="宋体"/>
          <w:sz w:val="10"/>
          <w:szCs w:val="10"/>
        </w:rPr>
      </w:pPr>
    </w:p>
    <w:p>
      <w:pPr>
        <w:jc w:val="center"/>
        <w:rPr>
          <w:rFonts w:hint="eastAsia" w:ascii="华文隶书" w:eastAsia="华文隶书"/>
          <w:sz w:val="10"/>
          <w:szCs w:val="10"/>
        </w:rPr>
      </w:pPr>
    </w:p>
    <w:p>
      <w:pPr>
        <w:jc w:val="center"/>
        <w:rPr>
          <w:rFonts w:hint="eastAsia" w:ascii="华文隶书" w:eastAsia="华文隶书"/>
          <w:sz w:val="10"/>
          <w:szCs w:val="10"/>
        </w:rPr>
      </w:pPr>
    </w:p>
    <w:p>
      <w:pPr>
        <w:jc w:val="center"/>
        <w:rPr>
          <w:rFonts w:hint="eastAsia" w:ascii="华文隶书" w:eastAsia="华文隶书"/>
          <w:sz w:val="10"/>
          <w:szCs w:val="10"/>
        </w:rPr>
      </w:pPr>
    </w:p>
    <w:p>
      <w:pPr>
        <w:jc w:val="center"/>
        <w:rPr>
          <w:rFonts w:hint="eastAsia" w:ascii="华文隶书" w:eastAsia="华文隶书"/>
          <w:sz w:val="10"/>
          <w:szCs w:val="10"/>
        </w:rPr>
      </w:pPr>
    </w:p>
    <w:p>
      <w:pPr>
        <w:jc w:val="center"/>
        <w:rPr>
          <w:rFonts w:hint="eastAsia" w:ascii="华文隶书" w:eastAsia="华文隶书"/>
          <w:sz w:val="10"/>
          <w:szCs w:val="10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100"/>
          <w:szCs w:val="100"/>
        </w:rPr>
      </w:pPr>
      <w:r>
        <w:rPr>
          <w:rFonts w:hint="eastAsia" w:asciiTheme="minorEastAsia" w:hAnsiTheme="minorEastAsia" w:eastAsiaTheme="minorEastAsia" w:cstheme="minorEastAsia"/>
          <w:sz w:val="100"/>
          <w:szCs w:val="100"/>
        </w:rPr>
        <w:t>教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0"/>
          <w:szCs w:val="20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0"/>
          <w:szCs w:val="20"/>
        </w:rPr>
      </w:pPr>
    </w:p>
    <w:p>
      <w:pPr>
        <w:jc w:val="center"/>
        <w:rPr>
          <w:rFonts w:hint="eastAsia" w:ascii="华文行楷" w:eastAsia="华文行楷" w:cs="华文行楷"/>
          <w:sz w:val="100"/>
          <w:szCs w:val="100"/>
        </w:rPr>
      </w:pPr>
      <w:r>
        <w:rPr>
          <w:rFonts w:hint="eastAsia" w:asciiTheme="minorEastAsia" w:hAnsiTheme="minorEastAsia" w:eastAsiaTheme="minorEastAsia" w:cstheme="minorEastAsia"/>
          <w:sz w:val="100"/>
          <w:szCs w:val="100"/>
        </w:rPr>
        <w:t>案</w:t>
      </w:r>
    </w:p>
    <w:p>
      <w:pPr>
        <w:jc w:val="both"/>
        <w:rPr>
          <w:b/>
          <w:bCs/>
          <w:sz w:val="10"/>
          <w:szCs w:val="10"/>
        </w:rPr>
      </w:pPr>
    </w:p>
    <w:p>
      <w:pPr>
        <w:jc w:val="center"/>
        <w:rPr>
          <w:b/>
          <w:bCs/>
          <w:sz w:val="10"/>
          <w:szCs w:val="10"/>
        </w:rPr>
      </w:pPr>
    </w:p>
    <w:p>
      <w:pPr>
        <w:jc w:val="center"/>
        <w:rPr>
          <w:b/>
          <w:bCs/>
          <w:sz w:val="10"/>
          <w:szCs w:val="10"/>
        </w:rPr>
      </w:pPr>
    </w:p>
    <w:p>
      <w:pPr>
        <w:jc w:val="center"/>
        <w:rPr>
          <w:b/>
          <w:bCs/>
          <w:sz w:val="10"/>
          <w:szCs w:val="10"/>
        </w:rPr>
      </w:pPr>
    </w:p>
    <w:p>
      <w:pPr>
        <w:ind w:left="840" w:leftChars="400" w:firstLine="313" w:firstLineChars="98"/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/>
        </w:rPr>
      </w:pPr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396240</wp:posOffset>
                </wp:positionV>
                <wp:extent cx="2428240" cy="635"/>
                <wp:effectExtent l="0" t="7620" r="10160" b="14605"/>
                <wp:wrapNone/>
                <wp:docPr id="1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24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137.6pt;margin-top:31.2pt;height:0.05pt;width:191.2pt;z-index:251659264;mso-width-relative:page;mso-height-relative:page;" filled="f" stroked="t" coordsize="21600,21600" o:gfxdata="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hDnFdgAAAAJAQAADwAA&#10;AAAAAAABACAAAAAiAAAAZHJzL2Rvd25yZXYueG1sUEsBAhQAFAAAAAgAh07iQESP6zLdAQAA3AMA&#10;AA4AAAAAAAAAAQAgAAAAJwEAAGRycy9lMm9Eb2MueG1sUEsFBgAAAAAGAAYAWQEAAHY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32"/>
          <w:lang w:val="en-US" w:eastAsia="zh-CN" w:bidi="ar-SA"/>
        </w:rPr>
        <w:t>授课科目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：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 xml:space="preserve">  城市轨道交通客运服务</w:t>
      </w:r>
    </w:p>
    <w:p>
      <w:pPr>
        <w:rPr>
          <w:rFonts w:hint="eastAsia" w:asciiTheme="majorEastAsia" w:hAnsiTheme="majorEastAsia" w:eastAsiaTheme="majorEastAsia" w:cs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 xml:space="preserve">       学    院：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396240</wp:posOffset>
                </wp:positionV>
                <wp:extent cx="2428240" cy="635"/>
                <wp:effectExtent l="0" t="7620" r="10160" b="14605"/>
                <wp:wrapNone/>
                <wp:docPr id="2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24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137.6pt;margin-top:31.2pt;height:0.05pt;width:191.2pt;z-index:251660288;mso-width-relative:page;mso-height-relative:page;" filled="f" stroked="t" coordsize="21600,21600" o:gfxdata="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hDnFdgAAAAJAQAADwAA&#10;AAAAAAABACAAAAAiAAAAZHJzL2Rvd25yZXYueG1sUEsBAhQAFAAAAAgAh07iQP5nHk7dAQAA3AMA&#10;AA4AAAAAAAAAAQAgAAAAJwEAAGRycy9lMm9Eb2MueG1sUEsFBgAAAAAGAAYAWQEAAHY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 xml:space="preserve">       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>授课教师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 xml:space="preserve">：    </w:t>
      </w:r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396240</wp:posOffset>
                </wp:positionV>
                <wp:extent cx="2428240" cy="635"/>
                <wp:effectExtent l="0" t="7620" r="10160" b="14605"/>
                <wp:wrapNone/>
                <wp:docPr id="3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24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137.6pt;margin-top:31.2pt;height:0.05pt;width:191.2pt;z-index:251661312;mso-width-relative:page;mso-height-relative:page;" filled="f" stroked="t" coordsize="21600,21600" o:gfxdata="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aEOcV2AAAAAkBAAAP&#10;AAAAAAAAAAEAIAAAACIAAABkcnMvZG93bnJldi54bWxQSwECFAAUAAAACACHTuJA8n8NaN8BAADc&#10;AwAADgAAAAAAAAABACAAAAAnAQAAZHJzL2Uyb0RvYy54bWxQSwUGAAAAAAYABgBZAQAAeA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 xml:space="preserve">    </w:t>
      </w:r>
    </w:p>
    <w:p>
      <w:pPr>
        <w:rPr>
          <w:rFonts w:hint="eastAsia" w:asciiTheme="majorEastAsia" w:hAnsiTheme="majorEastAsia" w:eastAsiaTheme="majorEastAsia" w:cstheme="majorEastAsia"/>
          <w:b/>
          <w:sz w:val="32"/>
          <w:szCs w:val="32"/>
          <w:u w:val="single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 xml:space="preserve">     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 xml:space="preserve">  授课专业： </w:t>
      </w:r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396240</wp:posOffset>
                </wp:positionV>
                <wp:extent cx="2428240" cy="635"/>
                <wp:effectExtent l="0" t="7620" r="10160" b="14605"/>
                <wp:wrapNone/>
                <wp:docPr id="4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24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6" o:spid="_x0000_s1026" o:spt="20" style="position:absolute;left:0pt;margin-left:137.6pt;margin-top:31.2pt;height:0.05pt;width:191.2pt;z-index:251662336;mso-width-relative:page;mso-height-relative:page;" filled="f" stroked="t" coordsize="21600,21600" o:gfxdata="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hDnFdgAAAAJAQAADwAA&#10;AAAAAAABACAAAAAiAAAAZHJzL2Rvd25yZXYueG1sUEsBAhQAFAAAAAgAh07iQHj3tIzdAQAA3AMA&#10;AA4AAAAAAAAAAQAgAAAAJwEAAGRycy9lMm9Eb2MueG1sUEsFBgAAAAAGAAYAWQEAAHY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  <w:lang w:val="en-US" w:eastAsia="zh-CN"/>
        </w:rPr>
        <w:t xml:space="preserve"> 城市轨道交通运营管理</w:t>
      </w:r>
    </w:p>
    <w:p>
      <w:pPr>
        <w:jc w:val="center"/>
        <w:rPr>
          <w:rFonts w:hint="eastAsia" w:ascii="华文楷体" w:hAnsi="华文楷体" w:eastAsia="华文楷体"/>
          <w:sz w:val="30"/>
          <w:szCs w:val="30"/>
        </w:rPr>
      </w:pPr>
    </w:p>
    <w:p>
      <w:pPr>
        <w:jc w:val="center"/>
        <w:rPr>
          <w:rFonts w:hint="eastAsia" w:ascii="华文楷体" w:hAnsi="华文楷体" w:eastAsia="华文楷体"/>
          <w:sz w:val="30"/>
          <w:szCs w:val="30"/>
        </w:rPr>
      </w:pPr>
    </w:p>
    <w:p>
      <w:pPr>
        <w:jc w:val="center"/>
        <w:rPr>
          <w:rFonts w:hint="eastAsia" w:ascii="华文楷体" w:hAnsi="华文楷体" w:eastAsia="华文楷体"/>
          <w:sz w:val="30"/>
          <w:szCs w:val="30"/>
        </w:rPr>
      </w:pPr>
    </w:p>
    <w:p>
      <w:pPr>
        <w:jc w:val="center"/>
        <w:rPr>
          <w:rFonts w:hint="eastAsia" w:ascii="华文楷体" w:hAnsi="华文楷体" w:eastAsia="华文楷体"/>
          <w:b/>
          <w:bCs/>
          <w:sz w:val="30"/>
          <w:szCs w:val="30"/>
        </w:rPr>
      </w:pPr>
      <w:r>
        <w:rPr>
          <w:rFonts w:hint="eastAsia" w:ascii="华文楷体" w:hAnsi="华文楷体" w:eastAsia="华文楷体"/>
          <w:b/>
          <w:bCs/>
          <w:sz w:val="30"/>
          <w:szCs w:val="30"/>
        </w:rPr>
        <w:t>二○</w:t>
      </w:r>
      <w:r>
        <w:rPr>
          <w:rFonts w:hint="eastAsia" w:ascii="华文楷体" w:hAnsi="华文楷体" w:eastAsia="华文楷体"/>
          <w:b/>
          <w:bCs/>
          <w:sz w:val="30"/>
          <w:szCs w:val="30"/>
          <w:lang w:val="en-US" w:eastAsia="zh-CN"/>
        </w:rPr>
        <w:t>二一</w:t>
      </w:r>
      <w:r>
        <w:rPr>
          <w:rFonts w:hint="eastAsia" w:ascii="华文楷体" w:hAnsi="华文楷体" w:eastAsia="华文楷体"/>
          <w:b/>
          <w:bCs/>
          <w:sz w:val="30"/>
          <w:szCs w:val="30"/>
        </w:rPr>
        <w:t>年</w:t>
      </w:r>
      <w:r>
        <w:rPr>
          <w:rFonts w:hint="eastAsia" w:ascii="华文楷体" w:hAnsi="华文楷体" w:eastAsia="华文楷体"/>
          <w:b/>
          <w:bCs/>
          <w:sz w:val="30"/>
          <w:szCs w:val="30"/>
          <w:lang w:val="en-US" w:eastAsia="zh-CN"/>
        </w:rPr>
        <w:t>九</w:t>
      </w:r>
      <w:r>
        <w:rPr>
          <w:rFonts w:hint="eastAsia" w:ascii="华文楷体" w:hAnsi="华文楷体" w:eastAsia="华文楷体"/>
          <w:b/>
          <w:bCs/>
          <w:sz w:val="30"/>
          <w:szCs w:val="30"/>
        </w:rPr>
        <w:t>月</w:t>
      </w:r>
    </w:p>
    <w:p>
      <w:pPr>
        <w:rPr>
          <w:rFonts w:hint="eastAsia" w:ascii="华文楷体" w:hAnsi="华文楷体" w:eastAsia="华文楷体"/>
          <w:b/>
          <w:bCs/>
          <w:sz w:val="30"/>
          <w:szCs w:val="30"/>
        </w:rPr>
      </w:pPr>
      <w:r>
        <w:rPr>
          <w:rFonts w:hint="eastAsia" w:ascii="华文楷体" w:hAnsi="华文楷体" w:eastAsia="华文楷体"/>
          <w:b/>
          <w:bCs/>
          <w:sz w:val="30"/>
          <w:szCs w:val="30"/>
        </w:rPr>
        <w:br w:type="page"/>
      </w:r>
      <w:bookmarkStart w:id="0" w:name="_GoBack"/>
      <w:bookmarkEnd w:id="0"/>
    </w:p>
    <w:tbl>
      <w:tblPr>
        <w:tblStyle w:val="4"/>
        <w:tblW w:w="97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1"/>
        <w:gridCol w:w="1242"/>
        <w:gridCol w:w="1242"/>
        <w:gridCol w:w="535"/>
        <w:gridCol w:w="707"/>
        <w:gridCol w:w="1242"/>
        <w:gridCol w:w="516"/>
        <w:gridCol w:w="726"/>
        <w:gridCol w:w="2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程</w:t>
            </w:r>
          </w:p>
        </w:tc>
        <w:tc>
          <w:tcPr>
            <w:tcW w:w="301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城市轨道交通自动售检票系统及票务处理</w:t>
            </w:r>
          </w:p>
        </w:tc>
        <w:tc>
          <w:tcPr>
            <w:tcW w:w="246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题</w:t>
            </w:r>
          </w:p>
        </w:tc>
        <w:tc>
          <w:tcPr>
            <w:tcW w:w="27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半自动售票机标准化作业及边门管理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授课班级</w:t>
            </w:r>
          </w:p>
        </w:tc>
        <w:tc>
          <w:tcPr>
            <w:tcW w:w="301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城市轨道交通运营管理</w:t>
            </w:r>
          </w:p>
        </w:tc>
        <w:tc>
          <w:tcPr>
            <w:tcW w:w="246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授课人数</w:t>
            </w:r>
          </w:p>
        </w:tc>
        <w:tc>
          <w:tcPr>
            <w:tcW w:w="27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16人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授课时数</w:t>
            </w:r>
          </w:p>
        </w:tc>
        <w:tc>
          <w:tcPr>
            <w:tcW w:w="301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课时</w:t>
            </w:r>
          </w:p>
        </w:tc>
        <w:tc>
          <w:tcPr>
            <w:tcW w:w="246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课程类型</w:t>
            </w:r>
          </w:p>
        </w:tc>
        <w:tc>
          <w:tcPr>
            <w:tcW w:w="27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专业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必修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授课时间</w:t>
            </w:r>
          </w:p>
        </w:tc>
        <w:tc>
          <w:tcPr>
            <w:tcW w:w="301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2021年10月10日</w:t>
            </w:r>
          </w:p>
        </w:tc>
        <w:tc>
          <w:tcPr>
            <w:tcW w:w="246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周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次</w:t>
            </w:r>
          </w:p>
        </w:tc>
        <w:tc>
          <w:tcPr>
            <w:tcW w:w="27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第六周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学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目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标</w:t>
            </w:r>
          </w:p>
        </w:tc>
        <w:tc>
          <w:tcPr>
            <w:tcW w:w="8211" w:type="dxa"/>
            <w:gridSpan w:val="8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【知识目标】</w:t>
            </w:r>
          </w:p>
          <w:p>
            <w:pPr>
              <w:pStyle w:val="3"/>
              <w:numPr>
                <w:ilvl w:val="0"/>
                <w:numId w:val="0"/>
              </w:numPr>
              <w:spacing w:before="0" w:beforeAutospacing="0" w:after="0" w:afterAutospacing="0"/>
              <w:rPr>
                <w:rFonts w:hint="eastAsia" w:cs="宋体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1.掌握BOM售票作业标准；</w:t>
            </w:r>
          </w:p>
          <w:p>
            <w:pPr>
              <w:pStyle w:val="3"/>
              <w:numPr>
                <w:ilvl w:val="0"/>
                <w:numId w:val="0"/>
              </w:numPr>
              <w:spacing w:before="0" w:beforeAutospacing="0" w:after="0" w:afterAutospacing="0"/>
              <w:rPr>
                <w:rFonts w:hint="eastAsia" w:cs="宋体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2.掌握车站边门管理作业内容。</w:t>
            </w:r>
          </w:p>
          <w:p>
            <w:pPr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【能力目标】</w:t>
            </w:r>
          </w:p>
          <w:p>
            <w:pPr>
              <w:pStyle w:val="3"/>
              <w:numPr>
                <w:ilvl w:val="0"/>
                <w:numId w:val="0"/>
              </w:numPr>
              <w:spacing w:before="0" w:beforeAutospacing="0" w:after="0" w:afterAutospacing="0"/>
              <w:rPr>
                <w:rFonts w:hint="eastAsia" w:cs="宋体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1.能分清车站边门管理作业内容；</w:t>
            </w:r>
          </w:p>
          <w:p>
            <w:pPr>
              <w:pStyle w:val="3"/>
              <w:numPr>
                <w:ilvl w:val="0"/>
                <w:numId w:val="0"/>
              </w:numPr>
              <w:spacing w:before="0" w:beforeAutospacing="0" w:after="0" w:afterAutospacing="0"/>
              <w:rPr>
                <w:rFonts w:hint="eastAsia" w:cs="宋体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2.能按规定完成BOM售票作业标准。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【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情感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目标】</w:t>
            </w:r>
          </w:p>
          <w:p>
            <w:pPr>
              <w:pStyle w:val="3"/>
              <w:numPr>
                <w:ilvl w:val="0"/>
                <w:numId w:val="0"/>
              </w:numPr>
              <w:spacing w:before="0" w:beforeAutospacing="0" w:after="0" w:afterAutospacing="0"/>
              <w:rPr>
                <w:rFonts w:hint="eastAsia" w:cs="宋体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1.培养规范的作业识，严谨的工作态度；</w:t>
            </w:r>
          </w:p>
          <w:p>
            <w:pPr>
              <w:pStyle w:val="3"/>
              <w:numPr>
                <w:ilvl w:val="0"/>
                <w:numId w:val="0"/>
              </w:numPr>
              <w:spacing w:before="0" w:beforeAutospacing="0" w:after="0" w:afterAutospacing="0"/>
              <w:rPr>
                <w:rFonts w:hint="eastAsia" w:cs="宋体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2.培养BOM售票作业标准岗位责任意识。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教学重点</w:t>
            </w:r>
          </w:p>
        </w:tc>
        <w:tc>
          <w:tcPr>
            <w:tcW w:w="8211" w:type="dxa"/>
            <w:gridSpan w:val="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BOM标准化作业及边门管理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教学难点</w:t>
            </w:r>
          </w:p>
        </w:tc>
        <w:tc>
          <w:tcPr>
            <w:tcW w:w="8211" w:type="dxa"/>
            <w:gridSpan w:val="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BOM售票作业标准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教学方法</w:t>
            </w:r>
          </w:p>
        </w:tc>
        <w:tc>
          <w:tcPr>
            <w:tcW w:w="3019" w:type="dxa"/>
            <w:gridSpan w:val="3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案例教学法、情景模拟法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小组讨论法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、任务驱动法</w:t>
            </w:r>
          </w:p>
        </w:tc>
        <w:tc>
          <w:tcPr>
            <w:tcW w:w="246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授课方式</w:t>
            </w:r>
          </w:p>
        </w:tc>
        <w:tc>
          <w:tcPr>
            <w:tcW w:w="27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多媒体课件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结合仿真软件实践操作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教学环节</w:t>
            </w:r>
          </w:p>
        </w:tc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课堂组织</w:t>
            </w:r>
          </w:p>
        </w:tc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课前小结</w:t>
            </w:r>
          </w:p>
        </w:tc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翻转课堂</w:t>
            </w:r>
          </w:p>
        </w:tc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任务教学</w:t>
            </w:r>
          </w:p>
        </w:tc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模拟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演练</w:t>
            </w:r>
          </w:p>
        </w:tc>
        <w:tc>
          <w:tcPr>
            <w:tcW w:w="20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总结反馈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时间分配</w:t>
            </w:r>
          </w:p>
        </w:tc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</w:t>
            </w:r>
          </w:p>
        </w:tc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</w:t>
            </w:r>
          </w:p>
        </w:tc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</w:t>
            </w:r>
          </w:p>
        </w:tc>
        <w:tc>
          <w:tcPr>
            <w:tcW w:w="1242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</w:t>
            </w:r>
          </w:p>
        </w:tc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20分钟</w:t>
            </w:r>
          </w:p>
        </w:tc>
        <w:tc>
          <w:tcPr>
            <w:tcW w:w="20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学习资源</w:t>
            </w:r>
          </w:p>
        </w:tc>
        <w:tc>
          <w:tcPr>
            <w:tcW w:w="8211" w:type="dxa"/>
            <w:gridSpan w:val="8"/>
            <w:vAlign w:val="center"/>
          </w:tcPr>
          <w:p>
            <w:pPr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平台：蓝墨云班课、智慧职教</w:t>
            </w:r>
          </w:p>
          <w:p>
            <w:pPr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资料：轨道交通车站厅巡岗巡视作业标准、</w:t>
            </w:r>
            <w:r>
              <w:rPr>
                <w:rFonts w:hint="eastAsia"/>
                <w:sz w:val="24"/>
                <w:lang w:eastAsia="zh-CN"/>
              </w:rPr>
              <w:t>地铁公司《服务手册》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exact"/>
          <w:jc w:val="center"/>
        </w:trPr>
        <w:tc>
          <w:tcPr>
            <w:tcW w:w="9702" w:type="dxa"/>
            <w:gridSpan w:val="9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教学过程设计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75" w:type="dxa"/>
            <w:gridSpan w:val="7"/>
            <w:vAlign w:val="center"/>
          </w:tcPr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一、课堂组织（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）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1、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平台</w:t>
            </w:r>
            <w:r>
              <w:rPr>
                <w:rFonts w:hint="eastAsia"/>
                <w:sz w:val="24"/>
                <w:lang w:val="en-US" w:eastAsia="zh-CN"/>
              </w:rPr>
              <w:t>：云班课平台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签到方式</w:t>
            </w:r>
            <w:r>
              <w:rPr>
                <w:rFonts w:hint="eastAsia"/>
                <w:sz w:val="24"/>
                <w:lang w:val="en-US" w:eastAsia="zh-CN"/>
              </w:rPr>
              <w:t>：一分钟签到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班组会议</w:t>
            </w:r>
            <w:r>
              <w:rPr>
                <w:rFonts w:hint="eastAsia"/>
                <w:sz w:val="24"/>
                <w:lang w:val="en-US" w:eastAsia="zh-CN"/>
              </w:rPr>
              <w:t>：针对轨道交通“倒班制”的工作特点，模拟早、中班会，以班组为单位进行各班组会议，并完成会议记录。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二、课前小结（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）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测试</w:t>
            </w:r>
            <w:r>
              <w:rPr>
                <w:rFonts w:hint="eastAsia"/>
                <w:sz w:val="24"/>
                <w:lang w:val="en-US" w:eastAsia="zh-CN"/>
              </w:rPr>
              <w:t>：通过云班课平台进行课前测试，并生成成绩分析表。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回顾</w:t>
            </w:r>
            <w:r>
              <w:rPr>
                <w:rFonts w:hint="eastAsia"/>
                <w:sz w:val="24"/>
                <w:lang w:val="en-US" w:eastAsia="zh-CN"/>
              </w:rPr>
              <w:t>：回顾上节课学习内容，并抽问，进行课堂巩固。</w:t>
            </w:r>
          </w:p>
          <w:p>
            <w:pPr>
              <w:numPr>
                <w:ilvl w:val="0"/>
                <w:numId w:val="0"/>
              </w:numPr>
              <w:ind w:firstLine="480"/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jc w:val="both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翻转课堂</w:t>
            </w:r>
          </w:p>
          <w:p>
            <w:pPr>
              <w:numPr>
                <w:ilvl w:val="0"/>
                <w:numId w:val="2"/>
              </w:numPr>
              <w:ind w:left="481" w:leftChars="0" w:firstLine="0" w:firstLineChars="0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学生讲解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结合前课作业分组展示学生作品，学生根据所掌握的知识进行情况分析，讲解完毕教师进行总结分析。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互评</w:t>
            </w:r>
            <w:r>
              <w:rPr>
                <w:rFonts w:hint="eastAsia"/>
                <w:sz w:val="24"/>
                <w:lang w:val="en-US" w:eastAsia="zh-CN"/>
              </w:rPr>
              <w:t>：</w:t>
            </w:r>
            <w:r>
              <w:rPr>
                <w:rFonts w:hint="eastAsia"/>
                <w:sz w:val="24"/>
              </w:rPr>
              <w:t>学生通过投票的形式进行</w:t>
            </w:r>
            <w:r>
              <w:rPr>
                <w:rFonts w:hint="eastAsia"/>
                <w:sz w:val="24"/>
                <w:lang w:eastAsia="zh-CN"/>
              </w:rPr>
              <w:t>小组</w:t>
            </w:r>
            <w:r>
              <w:rPr>
                <w:rFonts w:hint="eastAsia"/>
                <w:sz w:val="24"/>
              </w:rPr>
              <w:t>互评</w:t>
            </w:r>
            <w:r>
              <w:rPr>
                <w:rFonts w:hint="eastAsia"/>
                <w:sz w:val="24"/>
                <w:lang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ind w:left="481" w:leftChars="0" w:firstLine="0" w:firstLineChars="0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教师点拨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1.BOM售票作业标准 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default"/>
                <w:sz w:val="24"/>
                <w:lang w:val="en-US" w:eastAsia="zh-CN"/>
              </w:rPr>
              <w:t>半自动售票机（BOM）售票岗标准为：一收二唱三操作四找零</w:t>
            </w:r>
            <w:r>
              <w:rPr>
                <w:rFonts w:hint="eastAsia"/>
                <w:sz w:val="24"/>
                <w:lang w:val="en-US" w:eastAsia="zh-CN"/>
              </w:rPr>
              <w:t>。</w:t>
            </w:r>
          </w:p>
          <w:p>
            <w:pPr>
              <w:spacing w:line="360" w:lineRule="auto"/>
              <w:ind w:firstLine="420" w:firstLineChars="200"/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5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15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left="420" w:leftChars="200" w:firstLine="0" w:firstLineChars="0"/>
              <w:rPr>
                <w:rFonts w:hint="eastAsia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lang w:val="en-US" w:eastAsia="zh-CN"/>
              </w:rPr>
              <w:t>2.车站边门管理</w:t>
            </w:r>
          </w:p>
          <w:p>
            <w:pPr>
              <w:spacing w:line="360" w:lineRule="auto"/>
              <w:ind w:left="420" w:leftChars="200" w:firstLine="0" w:firstLineChars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（1）使用条件</w:t>
            </w:r>
          </w:p>
          <w:p>
            <w:pPr>
              <w:spacing w:line="360" w:lineRule="auto"/>
              <w:ind w:left="420" w:leftChars="200" w:firstLine="0" w:firstLineChars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运营时段内，车站边门均</w:t>
            </w:r>
            <w:r>
              <w:rPr>
                <w:rFonts w:hint="default"/>
                <w:sz w:val="24"/>
                <w:lang w:val="en-US" w:eastAsia="zh-CN"/>
              </w:rPr>
              <w:t>应全部处于锁闭状态，仅特殊乘客通行、工作需要、应急处理时可开启。</w:t>
            </w:r>
          </w:p>
          <w:p>
            <w:pPr>
              <w:spacing w:line="360" w:lineRule="auto"/>
              <w:ind w:left="420" w:leftChars="200" w:firstLine="0" w:firstLineChars="0"/>
              <w:rPr>
                <w:rFonts w:hint="eastAsia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8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图 免费专用通道（边门）</w:t>
            </w:r>
          </w:p>
          <w:p>
            <w:pPr>
              <w:spacing w:line="360" w:lineRule="auto"/>
              <w:ind w:left="420" w:leftChars="200" w:firstLine="0" w:firstLineChars="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（2）特殊乘客同行 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1）</w:t>
            </w:r>
            <w:r>
              <w:rPr>
                <w:rFonts w:hint="default"/>
                <w:sz w:val="24"/>
                <w:lang w:val="en-US" w:eastAsia="zh-CN"/>
              </w:rPr>
              <w:t xml:space="preserve">义务兵、革命伤残军人、伤残人民警察、盲人及其他重度残疾人等特殊人群凭相 关有效证件可免费乘坐地铁。 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2）</w:t>
            </w:r>
            <w:r>
              <w:rPr>
                <w:rFonts w:hint="default"/>
                <w:sz w:val="24"/>
                <w:lang w:val="en-US" w:eastAsia="zh-CN"/>
              </w:rPr>
              <w:t xml:space="preserve">持有《成都市特级教师（校长）荣誉证》、《中华人民共和老干部离休荣誉证》的人员可免费乘坐地铁。 </w:t>
            </w:r>
          </w:p>
          <w:p>
            <w:pPr>
              <w:spacing w:line="360" w:lineRule="auto"/>
              <w:ind w:firstLine="480" w:firstLineChars="200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3）</w:t>
            </w:r>
            <w:r>
              <w:rPr>
                <w:rFonts w:hint="default"/>
                <w:sz w:val="24"/>
                <w:lang w:val="en-US" w:eastAsia="zh-CN"/>
              </w:rPr>
              <w:t xml:space="preserve">盲人和其他重度残疾人(一、二级）持残疾人证免费乘坐地铁，随行的一名陪护人员可免费乘坐同车次列车:革命伤残军人、伤残人民警察（一至四级）随行的一名陪护人员可免费乘坐同车次列车。 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4）</w:t>
            </w:r>
            <w:r>
              <w:rPr>
                <w:rFonts w:hint="default"/>
                <w:sz w:val="24"/>
                <w:lang w:val="en-US" w:eastAsia="zh-CN"/>
              </w:rPr>
              <w:t xml:space="preserve">持港、澳、台地区残疾人证（无残疾等级区分）的乘客，一律按照大陆地区重度残疾人标准，允许其免费乘车，其随行的一名陪护人员可免费乘坐同车次列车。 </w:t>
            </w:r>
          </w:p>
          <w:p>
            <w:pPr>
              <w:spacing w:line="360" w:lineRule="auto"/>
              <w:ind w:firstLine="480" w:firstLineChars="200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5）</w:t>
            </w:r>
            <w:r>
              <w:rPr>
                <w:rFonts w:hint="default"/>
                <w:sz w:val="24"/>
                <w:lang w:val="en-US" w:eastAsia="zh-CN"/>
              </w:rPr>
              <w:t>1名成年乘客可以免费携带1名身高不足1.3米的儿童乘车，超过1名的，按超过人数购票。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（3）车站工作需要 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1）</w:t>
            </w:r>
            <w:r>
              <w:rPr>
                <w:rFonts w:hint="default"/>
                <w:sz w:val="24"/>
                <w:lang w:val="en-US" w:eastAsia="zh-CN"/>
              </w:rPr>
              <w:t>运送票卡、生产用具、办公用品等无法通过闸机的大件物品时</w:t>
            </w:r>
            <w:r>
              <w:rPr>
                <w:rFonts w:hint="eastAsia"/>
                <w:sz w:val="24"/>
                <w:lang w:val="en-US" w:eastAsia="zh-CN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2）</w:t>
            </w:r>
            <w:r>
              <w:rPr>
                <w:rFonts w:hint="default"/>
                <w:sz w:val="24"/>
                <w:lang w:val="en-US" w:eastAsia="zh-CN"/>
              </w:rPr>
              <w:t>重大参观接待任务，需开启边门时:</w:t>
            </w:r>
            <w:r>
              <w:rPr>
                <w:rFonts w:hint="eastAsia"/>
                <w:sz w:val="24"/>
                <w:lang w:val="en-US" w:eastAsia="zh-CN"/>
              </w:rPr>
              <w:t>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3）</w:t>
            </w:r>
            <w:r>
              <w:rPr>
                <w:rFonts w:hint="default"/>
                <w:sz w:val="24"/>
                <w:lang w:val="en-US" w:eastAsia="zh-CN"/>
              </w:rPr>
              <w:t>本站施工人员因工作需要进出付费区时</w:t>
            </w:r>
            <w:r>
              <w:rPr>
                <w:rFonts w:hint="eastAsia"/>
                <w:sz w:val="24"/>
                <w:lang w:val="en-US" w:eastAsia="zh-CN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（4）证件的识别</w:t>
            </w:r>
          </w:p>
          <w:p>
            <w:pP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11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12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13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14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9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80" w:firstLineChars="200"/>
              <w:rPr>
                <w:rFonts w:hint="default"/>
                <w:sz w:val="24"/>
                <w:lang w:val="en-US" w:eastAsia="zh-CN"/>
              </w:rPr>
            </w:pPr>
          </w:p>
          <w:p>
            <w:pPr>
              <w:spacing w:line="360" w:lineRule="auto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3959860" cy="2160270"/>
                  <wp:effectExtent l="0" t="0" r="2540" b="3810"/>
                  <wp:docPr id="10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四、任务教学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设定两种不同情况下的任务：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任务一：能分清车站边门管理作业内容；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任务二：按规定完成BOM售票作业标准；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思路：分小组集中讨论车站边门管理作业内容如何实施，确定作业具体范围及要求。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五、模拟演练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1、</w:t>
            </w:r>
            <w:r>
              <w:rPr>
                <w:rFonts w:hint="eastAsia"/>
                <w:b/>
                <w:bCs/>
                <w:sz w:val="24"/>
              </w:rPr>
              <w:t>利用仿真模拟软件进行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课堂测试</w:t>
            </w:r>
            <w:r>
              <w:rPr>
                <w:rFonts w:hint="eastAsia"/>
                <w:b/>
                <w:bCs/>
                <w:sz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2、各组将相应的测试结果公布，集中讨论分析错题。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利用仿真模拟软件，打开“BOM售票作业模拟游戏”，让同学们在手机上进行当堂测试，通过手机投屏展示测试成绩，并显示错题，分析原因，及时了解学习情况。</w:t>
            </w:r>
          </w:p>
          <w:p>
            <w:pPr>
              <w:ind w:firstLine="480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六、总结反馈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小组代表对本小组课堂表现进行自评，教师对各小组学生表现进行点评，并对本次学习任务进行总结反馈。课后，学生在线对老师点评，教师结合本堂课学生表现及数据收集进行教学反思。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课堂寄语</w:t>
            </w:r>
            <w:r>
              <w:rPr>
                <w:rFonts w:hint="eastAsia"/>
                <w:sz w:val="24"/>
              </w:rPr>
              <w:t>：</w:t>
            </w:r>
            <w:r>
              <w:rPr>
                <w:rFonts w:hint="eastAsia"/>
                <w:sz w:val="24"/>
                <w:lang w:eastAsia="zh-CN"/>
              </w:rPr>
              <w:t>多听多看多学习</w:t>
            </w:r>
            <w:r>
              <w:rPr>
                <w:rFonts w:hint="eastAsia"/>
                <w:sz w:val="24"/>
              </w:rPr>
              <w:t>！</w:t>
            </w: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727" w:type="dxa"/>
            <w:gridSpan w:val="2"/>
            <w:vAlign w:val="center"/>
          </w:tcPr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让同学们迅速进入学习状态。培养同学们在工作中的守时意识</w:t>
            </w: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将企业文化引入课堂、注入同学们的思想中。</w:t>
            </w: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课前小结，引导学生尽快进入学习状态，并承前启后，引出新课内容。</w:t>
            </w: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lang w:eastAsia="zh-CN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lang w:eastAsia="zh-CN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lang w:eastAsia="zh-CN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lang w:eastAsia="zh-CN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结合厅</w:t>
            </w:r>
            <w:r>
              <w:rPr>
                <w:rFonts w:hint="eastAsia"/>
                <w:sz w:val="24"/>
                <w:lang w:val="en-US" w:eastAsia="zh-CN"/>
              </w:rPr>
              <w:t>售票作业标准</w:t>
            </w:r>
            <w:r>
              <w:rPr>
                <w:rFonts w:hint="eastAsia"/>
                <w:sz w:val="24"/>
                <w:lang w:eastAsia="zh-CN"/>
              </w:rPr>
              <w:t>的基本职责流程，根据</w:t>
            </w:r>
            <w:r>
              <w:rPr>
                <w:rFonts w:hint="eastAsia"/>
                <w:sz w:val="24"/>
                <w:lang w:val="en-US" w:eastAsia="zh-CN"/>
              </w:rPr>
              <w:t>售票</w:t>
            </w:r>
            <w:r>
              <w:rPr>
                <w:rFonts w:hint="eastAsia"/>
                <w:sz w:val="24"/>
                <w:lang w:eastAsia="zh-CN"/>
              </w:rPr>
              <w:t>作业标准，突破教学重点。</w:t>
            </w: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整个环节层层深入，破解了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车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站边门管理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作业内容</w:t>
            </w:r>
            <w:r>
              <w:rPr>
                <w:rFonts w:hint="eastAsia"/>
                <w:sz w:val="24"/>
              </w:rPr>
              <w:t>这一教学难点。</w:t>
            </w: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仿真软件学流程</w:t>
            </w: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模拟演练增加学生兴趣</w:t>
            </w: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小组讨论，互相纠错，学生很感兴趣。</w:t>
            </w: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相互沟通交流，与学生相处和睦</w:t>
            </w: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教书更重育人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9702" w:type="dxa"/>
            <w:gridSpan w:val="9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作业布置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exact"/>
          <w:jc w:val="center"/>
        </w:trPr>
        <w:tc>
          <w:tcPr>
            <w:tcW w:w="9702" w:type="dxa"/>
            <w:gridSpan w:val="9"/>
            <w:vAlign w:val="center"/>
          </w:tcPr>
          <w:p>
            <w:pPr>
              <w:spacing w:line="360" w:lineRule="auto"/>
              <w:ind w:firstLine="480" w:firstLineChars="200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请同学们前往成都地铁参与志愿者活动，在掌握车站边门管理作业的地点及注意事项的基础上，进行车站BOM售票作业演练，拍摄完毕之后上传云班课。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9702" w:type="dxa"/>
            <w:gridSpan w:val="9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板书设计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4" w:hRule="atLeast"/>
          <w:jc w:val="center"/>
        </w:trPr>
        <w:tc>
          <w:tcPr>
            <w:tcW w:w="9702" w:type="dxa"/>
            <w:gridSpan w:val="9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模块三：城市轨道交通自动售检票系统及票务处理</w:t>
            </w:r>
          </w:p>
          <w:p>
            <w:pPr>
              <w:spacing w:line="360" w:lineRule="auto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第二节 标准化作业及边门管理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一、课堂展示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二、BOM售票作业标准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三、任务教学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任务一：能分清车站边门管理作业内容；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任务二：按规定完成BOM售票作业标准；</w:t>
            </w: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四、模拟演练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9702" w:type="dxa"/>
            <w:gridSpan w:val="9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课堂情况及课后反思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702" w:type="dxa"/>
            <w:gridSpan w:val="9"/>
            <w:vAlign w:val="center"/>
          </w:tcPr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学生对于直接间接流程是很反感的，并且讲完以后也不一定记得住，所以任务教学的方式对学生来讲能动性比较大，大家也比较感兴趣。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社会实践需要大家利用课下时间去完成，因此必须注意时刻联系班组组长，掌握学生动态，出行时间。</w:t>
            </w: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sectPr>
      <w:headerReference r:id="rId3" w:type="default"/>
      <w:pgSz w:w="11850" w:h="16783"/>
      <w:pgMar w:top="1440" w:right="1800" w:bottom="1440" w:left="1800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BEA6A0"/>
    <w:multiLevelType w:val="singleLevel"/>
    <w:tmpl w:val="BABEA6A0"/>
    <w:lvl w:ilvl="0" w:tentative="0">
      <w:start w:val="1"/>
      <w:numFmt w:val="decimal"/>
      <w:suff w:val="nothing"/>
      <w:lvlText w:val="%1、"/>
      <w:lvlJc w:val="left"/>
      <w:pPr>
        <w:ind w:left="481" w:leftChars="0" w:firstLine="0" w:firstLineChars="0"/>
      </w:pPr>
    </w:lvl>
  </w:abstractNum>
  <w:abstractNum w:abstractNumId="1">
    <w:nsid w:val="E38D4CEB"/>
    <w:multiLevelType w:val="singleLevel"/>
    <w:tmpl w:val="E38D4CE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8E5A02"/>
    <w:rsid w:val="01042CDC"/>
    <w:rsid w:val="04754202"/>
    <w:rsid w:val="1A5F4508"/>
    <w:rsid w:val="1B610C45"/>
    <w:rsid w:val="1B9E2E4B"/>
    <w:rsid w:val="2E4267EF"/>
    <w:rsid w:val="39933B83"/>
    <w:rsid w:val="420B3B75"/>
    <w:rsid w:val="508C3325"/>
    <w:rsid w:val="618E5A02"/>
    <w:rsid w:val="687C1496"/>
    <w:rsid w:val="6B9C056B"/>
    <w:rsid w:val="6BCC542C"/>
    <w:rsid w:val="7B532628"/>
    <w:rsid w:val="7BE4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2019-07-16T08:37:00Z</dcterms:created>
  <dc:creator>sorrow笙</dc:creator>
  <cp:lastModifiedBy>吕宁</cp:lastModifiedBy>
  <dcterms:modified xsi:type="dcterms:W3CDTF">2021-11-05T06:09:38Z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86D7F24D0B694BC3ACF1A98E29116B05</vt:lpwstr>
  </property>
</Properties>
</file>