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0" w:lineRule="exact"/>
        <w:ind w:left="653"/>
        <w:rPr>
          <w:rFonts w:hAnsi="Calibri"/>
          <w:color w:val="000000"/>
          <w:sz w:val="36"/>
          <w:szCs w:val="22"/>
          <w:lang w:eastAsia="zh-CN"/>
        </w:rPr>
      </w:pPr>
      <w:bookmarkStart w:id="0" w:name="br1"/>
      <w:bookmarkEnd w:id="0"/>
      <w:r>
        <w:rPr>
          <w:rFonts w:ascii="宋体" w:hAnsi="Calibri" w:eastAsiaTheme="minorEastAsia" w:cstheme="minorBidi"/>
          <w:color w:val="000000"/>
          <w:spacing w:val="-1"/>
          <w:sz w:val="36"/>
          <w:szCs w:val="22"/>
          <w:lang w:eastAsia="zh-CN"/>
        </w:rPr>
        <w:t>2021</w:t>
      </w:r>
      <w:r>
        <w:rPr>
          <w:rFonts w:hAnsi="Calibri" w:eastAsiaTheme="minorEastAsia" w:cstheme="minorBidi"/>
          <w:color w:val="000000"/>
          <w:spacing w:val="4"/>
          <w:sz w:val="36"/>
          <w:szCs w:val="22"/>
          <w:lang w:eastAsia="zh-CN"/>
        </w:rPr>
        <w:t xml:space="preserve"> </w:t>
      </w:r>
      <w:r>
        <w:rPr>
          <w:rFonts w:ascii="宋体" w:hAnsi="宋体" w:cs="宋体" w:eastAsiaTheme="minorEastAsia"/>
          <w:color w:val="000000"/>
          <w:sz w:val="36"/>
          <w:szCs w:val="22"/>
          <w:lang w:eastAsia="zh-CN"/>
        </w:rPr>
        <w:t>年</w:t>
      </w:r>
      <w:r>
        <w:rPr>
          <w:rFonts w:hint="eastAsia" w:ascii="宋体" w:hAnsi="宋体" w:cs="宋体" w:eastAsiaTheme="minorEastAsia"/>
          <w:color w:val="000000"/>
          <w:sz w:val="36"/>
          <w:szCs w:val="22"/>
          <w:lang w:eastAsia="zh-CN"/>
        </w:rPr>
        <w:t>四川科技职业学院</w:t>
      </w:r>
      <w:r>
        <w:rPr>
          <w:rFonts w:ascii="宋体" w:hAnsi="宋体" w:cs="宋体" w:eastAsiaTheme="minorEastAsia"/>
          <w:color w:val="000000"/>
          <w:sz w:val="36"/>
          <w:szCs w:val="22"/>
          <w:lang w:eastAsia="zh-CN"/>
        </w:rPr>
        <w:t>教师教学能力大赛</w:t>
      </w:r>
    </w:p>
    <w:p>
      <w:pPr>
        <w:spacing w:before="2090" w:line="445" w:lineRule="exact"/>
        <w:ind w:firstLine="1440" w:firstLineChars="400"/>
        <w:jc w:val="both"/>
        <w:rPr>
          <w:rFonts w:hAnsi="Calibri" w:eastAsia="宋体"/>
          <w:color w:val="000000"/>
          <w:sz w:val="36"/>
          <w:szCs w:val="36"/>
          <w:lang w:eastAsia="zh-CN"/>
        </w:rPr>
      </w:pPr>
      <w:r>
        <w:rPr>
          <w:rFonts w:hint="eastAsia" w:hAnsi="Calibri" w:eastAsia="宋体"/>
          <w:color w:val="000000"/>
          <w:sz w:val="36"/>
          <w:szCs w:val="36"/>
          <w:lang w:eastAsia="zh-CN"/>
        </w:rPr>
        <w:t>新民主主义革命理论形成的依据</w:t>
      </w:r>
    </w:p>
    <w:p>
      <w:pPr>
        <w:spacing w:before="1463" w:line="370" w:lineRule="exact"/>
        <w:ind w:left="3024"/>
        <w:rPr>
          <w:rFonts w:hAnsi="Calibri"/>
          <w:color w:val="000000"/>
          <w:sz w:val="36"/>
          <w:szCs w:val="22"/>
          <w:lang w:eastAsia="zh-CN"/>
        </w:rPr>
      </w:pPr>
      <w:r>
        <w:rPr>
          <w:rFonts w:ascii="宋体" w:hAnsi="宋体" w:cs="宋体" w:eastAsiaTheme="minorEastAsia"/>
          <w:color w:val="000000"/>
          <w:sz w:val="36"/>
          <w:szCs w:val="22"/>
          <w:lang w:eastAsia="zh-CN"/>
        </w:rPr>
        <w:t>教学实施报告</w:t>
      </w:r>
    </w:p>
    <w:p>
      <w:pPr>
        <w:spacing w:before="4658" w:line="295" w:lineRule="exact"/>
        <w:ind w:firstLine="540" w:firstLineChars="200"/>
        <w:rPr>
          <w:rFonts w:hAnsi="Calibri"/>
          <w:color w:val="000000"/>
          <w:sz w:val="29"/>
          <w:szCs w:val="22"/>
          <w:lang w:eastAsia="zh-CN"/>
        </w:rPr>
      </w:pPr>
      <w:r>
        <w:rPr>
          <w:rFonts w:ascii="宋体" w:hAnsi="宋体" w:cs="宋体" w:eastAsiaTheme="minorEastAsia"/>
          <w:color w:val="000000"/>
          <w:spacing w:val="-10"/>
          <w:sz w:val="29"/>
          <w:szCs w:val="22"/>
          <w:lang w:eastAsia="zh-CN"/>
        </w:rPr>
        <w:t>参赛组别：</w:t>
      </w:r>
      <w:r>
        <w:rPr>
          <w:rFonts w:hAnsi="Calibri" w:eastAsiaTheme="minorEastAsia" w:cstheme="minorBidi"/>
          <w:color w:val="000000"/>
          <w:spacing w:val="910"/>
          <w:sz w:val="29"/>
          <w:szCs w:val="22"/>
          <w:lang w:eastAsia="zh-CN"/>
        </w:rPr>
        <w:t xml:space="preserve"> </w:t>
      </w:r>
      <w:r>
        <w:rPr>
          <w:rFonts w:ascii="宋体" w:hAnsi="宋体" w:cs="宋体" w:eastAsiaTheme="minorEastAsia"/>
          <w:color w:val="000000"/>
          <w:spacing w:val="-10"/>
          <w:sz w:val="29"/>
          <w:szCs w:val="22"/>
          <w:lang w:eastAsia="zh-CN"/>
        </w:rPr>
        <w:t>公共基础课程组</w:t>
      </w:r>
    </w:p>
    <w:p>
      <w:pPr>
        <w:spacing w:before="329" w:line="295" w:lineRule="exact"/>
        <w:ind w:left="624"/>
        <w:rPr>
          <w:rFonts w:hAnsi="Calibri"/>
          <w:color w:val="000000"/>
          <w:sz w:val="29"/>
          <w:szCs w:val="22"/>
          <w:lang w:eastAsia="zh-CN"/>
        </w:rPr>
      </w:pPr>
      <w:r>
        <w:rPr>
          <w:rFonts w:ascii="宋体" w:hAnsi="宋体" w:cs="宋体" w:eastAsiaTheme="minorEastAsia"/>
          <w:color w:val="000000"/>
          <w:spacing w:val="-10"/>
          <w:sz w:val="29"/>
          <w:szCs w:val="22"/>
          <w:lang w:eastAsia="zh-CN"/>
        </w:rPr>
        <w:t>所选课程：</w:t>
      </w:r>
      <w:r>
        <w:rPr>
          <w:rFonts w:hAnsi="Calibri" w:eastAsiaTheme="minorEastAsia" w:cstheme="minorBidi"/>
          <w:color w:val="000000"/>
          <w:spacing w:val="771"/>
          <w:sz w:val="29"/>
          <w:szCs w:val="22"/>
          <w:lang w:eastAsia="zh-CN"/>
        </w:rPr>
        <w:t xml:space="preserve"> </w:t>
      </w:r>
      <w:r>
        <w:rPr>
          <w:rFonts w:ascii="宋体" w:hAnsi="宋体" w:cs="宋体" w:eastAsiaTheme="minorEastAsia"/>
          <w:color w:val="000000"/>
          <w:spacing w:val="-25"/>
          <w:sz w:val="29"/>
          <w:szCs w:val="22"/>
          <w:lang w:eastAsia="zh-CN"/>
        </w:rPr>
        <w:t>《</w:t>
      </w:r>
      <w:r>
        <w:rPr>
          <w:rFonts w:hint="eastAsia" w:ascii="宋体" w:hAnsi="宋体" w:cs="宋体" w:eastAsiaTheme="minorEastAsia"/>
          <w:color w:val="000000"/>
          <w:spacing w:val="-25"/>
          <w:sz w:val="29"/>
          <w:szCs w:val="22"/>
          <w:lang w:eastAsia="zh-CN"/>
        </w:rPr>
        <w:t>毛泽东思想和中国特色社会主义理论体系概论</w:t>
      </w:r>
      <w:r>
        <w:rPr>
          <w:rFonts w:ascii="宋体" w:hAnsi="宋体" w:cs="宋体" w:eastAsiaTheme="minorEastAsia"/>
          <w:color w:val="000000"/>
          <w:spacing w:val="-25"/>
          <w:sz w:val="29"/>
          <w:szCs w:val="22"/>
          <w:lang w:eastAsia="zh-CN"/>
        </w:rPr>
        <w:t>》</w:t>
      </w:r>
    </w:p>
    <w:p>
      <w:pPr>
        <w:spacing w:before="329" w:line="295" w:lineRule="exact"/>
        <w:ind w:left="624"/>
        <w:rPr>
          <w:rFonts w:hAnsi="Calibri"/>
          <w:color w:val="000000"/>
          <w:sz w:val="29"/>
          <w:szCs w:val="22"/>
          <w:lang w:eastAsia="zh-CN"/>
        </w:rPr>
      </w:pPr>
      <w:r>
        <w:rPr>
          <w:rFonts w:ascii="宋体" w:hAnsi="宋体" w:cs="宋体" w:eastAsiaTheme="minorEastAsia"/>
          <w:color w:val="000000"/>
          <w:spacing w:val="-10"/>
          <w:sz w:val="29"/>
          <w:szCs w:val="22"/>
          <w:lang w:eastAsia="zh-CN"/>
        </w:rPr>
        <w:t>授课对象：</w:t>
      </w:r>
      <w:r>
        <w:rPr>
          <w:rFonts w:hAnsi="Calibri" w:eastAsiaTheme="minorEastAsia" w:cstheme="minorBidi"/>
          <w:color w:val="000000"/>
          <w:spacing w:val="-2"/>
          <w:sz w:val="29"/>
          <w:szCs w:val="22"/>
          <w:lang w:eastAsia="zh-CN"/>
        </w:rPr>
        <w:t xml:space="preserve"> </w:t>
      </w:r>
      <w:r>
        <w:rPr>
          <w:rFonts w:hint="eastAsia" w:hAnsi="Calibri" w:eastAsiaTheme="minorEastAsia" w:cstheme="minorBidi"/>
          <w:color w:val="000000"/>
          <w:spacing w:val="-2"/>
          <w:sz w:val="29"/>
          <w:szCs w:val="22"/>
          <w:lang w:eastAsia="zh-CN"/>
        </w:rPr>
        <w:t xml:space="preserve">            </w:t>
      </w:r>
      <w:r>
        <w:rPr>
          <w:rFonts w:ascii="宋体" w:hAnsi="Calibri" w:eastAsiaTheme="minorEastAsia" w:cstheme="minorBidi"/>
          <w:color w:val="000000"/>
          <w:spacing w:val="-6"/>
          <w:sz w:val="29"/>
          <w:szCs w:val="22"/>
          <w:lang w:eastAsia="zh-CN"/>
        </w:rPr>
        <w:t>202</w:t>
      </w:r>
      <w:r>
        <w:rPr>
          <w:rFonts w:hint="eastAsia" w:ascii="宋体" w:hAnsi="Calibri" w:eastAsiaTheme="minorEastAsia" w:cstheme="minorBidi"/>
          <w:color w:val="000000"/>
          <w:spacing w:val="-6"/>
          <w:sz w:val="29"/>
          <w:szCs w:val="22"/>
          <w:lang w:eastAsia="zh-CN"/>
        </w:rPr>
        <w:t>1</w:t>
      </w:r>
      <w:r>
        <w:rPr>
          <w:rFonts w:ascii="宋体" w:hAnsi="宋体" w:cs="宋体" w:eastAsiaTheme="minorEastAsia"/>
          <w:color w:val="000000"/>
          <w:spacing w:val="-9"/>
          <w:sz w:val="29"/>
          <w:szCs w:val="22"/>
          <w:lang w:eastAsia="zh-CN"/>
        </w:rPr>
        <w:t>级</w:t>
      </w:r>
      <w:r>
        <w:rPr>
          <w:rFonts w:hint="eastAsia" w:ascii="宋体" w:hAnsi="宋体" w:cs="宋体" w:eastAsiaTheme="minorEastAsia"/>
          <w:color w:val="000000"/>
          <w:spacing w:val="-9"/>
          <w:sz w:val="29"/>
          <w:szCs w:val="22"/>
          <w:lang w:eastAsia="zh-CN"/>
        </w:rPr>
        <w:t>大一</w:t>
      </w:r>
      <w:r>
        <w:rPr>
          <w:rFonts w:ascii="宋体" w:hAnsi="宋体" w:cs="宋体" w:eastAsiaTheme="minorEastAsia"/>
          <w:color w:val="000000"/>
          <w:spacing w:val="-9"/>
          <w:sz w:val="29"/>
          <w:szCs w:val="22"/>
          <w:lang w:eastAsia="zh-CN"/>
        </w:rPr>
        <w:t>学生</w:t>
      </w:r>
    </w:p>
    <w:p>
      <w:pPr>
        <w:spacing w:before="329" w:line="295" w:lineRule="exact"/>
        <w:ind w:left="624"/>
        <w:rPr>
          <w:rFonts w:hAnsi="Calibri"/>
          <w:color w:val="000000"/>
          <w:sz w:val="29"/>
          <w:szCs w:val="22"/>
          <w:lang w:eastAsia="zh-CN"/>
        </w:rPr>
        <w:sectPr>
          <w:footerReference r:id="rId3" w:type="default"/>
          <w:pgSz w:w="11900" w:h="16820"/>
          <w:pgMar w:top="2173" w:right="100" w:bottom="0" w:left="2016" w:header="720" w:footer="720" w:gutter="0"/>
          <w:pgNumType w:start="1"/>
          <w:cols w:space="720" w:num="1"/>
          <w:docGrid w:linePitch="1" w:charSpace="0"/>
        </w:sectPr>
      </w:pPr>
      <w:r>
        <w:rPr>
          <w:rFonts w:ascii="宋体" w:hAnsi="宋体" w:cs="宋体" w:eastAsiaTheme="minorEastAsia"/>
          <w:color w:val="000000"/>
          <w:spacing w:val="-10"/>
          <w:sz w:val="29"/>
          <w:szCs w:val="22"/>
          <w:lang w:eastAsia="zh-CN"/>
        </w:rPr>
        <w:t>参赛学时：</w:t>
      </w:r>
      <w:r>
        <w:rPr>
          <w:rFonts w:hint="eastAsia" w:ascii="宋体" w:hAnsi="宋体" w:cs="宋体" w:eastAsiaTheme="minorEastAsia"/>
          <w:color w:val="000000"/>
          <w:spacing w:val="-10"/>
          <w:sz w:val="29"/>
          <w:szCs w:val="22"/>
          <w:lang w:eastAsia="zh-CN"/>
        </w:rPr>
        <w:t xml:space="preserve">                </w:t>
      </w:r>
      <w:r>
        <w:rPr>
          <w:rFonts w:hint="eastAsia" w:ascii="宋体" w:hAnsi="Calibri" w:eastAsiaTheme="minorEastAsia" w:cstheme="minorBidi"/>
          <w:color w:val="000000"/>
          <w:spacing w:val="-6"/>
          <w:sz w:val="29"/>
          <w:szCs w:val="22"/>
          <w:lang w:eastAsia="zh-CN"/>
        </w:rPr>
        <w:t>2</w:t>
      </w:r>
      <w:r>
        <w:rPr>
          <w:rFonts w:hAnsi="Calibri" w:eastAsiaTheme="minorEastAsia" w:cstheme="minorBidi"/>
          <w:color w:val="000000"/>
          <w:spacing w:val="-5"/>
          <w:sz w:val="29"/>
          <w:szCs w:val="22"/>
          <w:lang w:eastAsia="zh-CN"/>
        </w:rPr>
        <w:t xml:space="preserve"> </w:t>
      </w:r>
      <w:r>
        <w:rPr>
          <w:rFonts w:ascii="宋体" w:hAnsi="宋体" w:cs="宋体" w:eastAsiaTheme="minorEastAsia"/>
          <w:color w:val="000000"/>
          <w:spacing w:val="-7"/>
          <w:sz w:val="29"/>
          <w:szCs w:val="22"/>
          <w:lang w:eastAsia="zh-CN"/>
        </w:rPr>
        <w:t>学时</w:t>
      </w:r>
    </w:p>
    <w:sdt>
      <w:sdtPr>
        <w:rPr>
          <w:rFonts w:ascii="宋体" w:hAnsi="宋体" w:eastAsia="宋体"/>
          <w:sz w:val="21"/>
        </w:rPr>
        <w:id w:val="147454908"/>
        <w:docPartObj>
          <w:docPartGallery w:val="Table of Contents"/>
          <w:docPartUnique/>
        </w:docPartObj>
      </w:sdtPr>
      <w:sdtEndPr>
        <w:rPr>
          <w:rFonts w:ascii="Times New Roman" w:hAnsi="Times New Roman" w:eastAsia="Times New Roman"/>
          <w:sz w:val="24"/>
        </w:rPr>
      </w:sdtEndPr>
      <w:sdtContent>
        <w:p>
          <w:pPr>
            <w:jc w:val="center"/>
          </w:pPr>
          <w:r>
            <w:rPr>
              <w:rFonts w:ascii="宋体" w:hAnsi="宋体" w:cs="宋体" w:eastAsiaTheme="minorEastAsia"/>
              <w:sz w:val="32"/>
              <w:szCs w:val="22"/>
            </w:rPr>
            <w:t>教学实施报告目录</w:t>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_Toc25977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教学实施报告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_Toc25977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_Toc26393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一、教学整体设计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_Toc26393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_Toc8307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（一）教学内容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_Toc8307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_Toc12002 </w:instrText>
          </w:r>
          <w:r>
            <w:rPr>
              <w:rFonts w:hint="eastAsia" w:ascii="仿宋" w:hAnsi="仿宋" w:eastAsia="仿宋" w:cs="仿宋"/>
              <w:sz w:val="28"/>
              <w:szCs w:val="28"/>
            </w:rPr>
            <w:fldChar w:fldCharType="separate"/>
          </w:r>
          <w:r>
            <w:rPr>
              <w:rFonts w:hint="eastAsia" w:ascii="仿宋" w:hAnsi="仿宋" w:eastAsia="仿宋" w:cs="仿宋"/>
              <w:sz w:val="28"/>
              <w:szCs w:val="28"/>
            </w:rPr>
            <w:t>（二） 学情分析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_Toc12002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_Toc13455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（三）教学目标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_Toc13455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_Toc12111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（四）教学过程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_Toc12111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_Toc32679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二、教学实施过程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_Toc32679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_Toc24841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（一）教学活动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_Toc24841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_Toc18708 </w:instrText>
          </w:r>
          <w:r>
            <w:rPr>
              <w:rFonts w:hint="eastAsia" w:ascii="仿宋" w:hAnsi="仿宋" w:eastAsia="仿宋" w:cs="仿宋"/>
              <w:sz w:val="28"/>
              <w:szCs w:val="28"/>
            </w:rPr>
            <w:fldChar w:fldCharType="separate"/>
          </w:r>
          <w:r>
            <w:rPr>
              <w:rFonts w:hint="eastAsia" w:ascii="仿宋" w:hAnsi="仿宋" w:eastAsia="仿宋" w:cs="仿宋"/>
              <w:sz w:val="28"/>
              <w:szCs w:val="28"/>
            </w:rPr>
            <w:t>（三） 教学评价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_Toc18708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_Toc8718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三、学习效果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_Toc8718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_Toc704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（一）理论知识的掌握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_Toc704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_Toc251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（二）企业和社会评价认可度高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_Toc251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_Toc15299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四、反思改进</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_Toc15299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_Toc26547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（一）加强教学设计和集体备课力度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_Toc26547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_Toc6391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二</w:t>
          </w:r>
          <w:r>
            <w:rPr>
              <w:rFonts w:hint="eastAsia" w:ascii="仿宋" w:hAnsi="仿宋" w:eastAsia="仿宋" w:cs="仿宋"/>
              <w:sz w:val="28"/>
              <w:szCs w:val="28"/>
              <w:lang w:eastAsia="zh-CN"/>
            </w:rPr>
            <w:t>）改进教学方法和教学手段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_Toc6391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keepNext w:val="0"/>
            <w:keepLines w:val="0"/>
            <w:pageBreakBefore w:val="0"/>
            <w:widowControl/>
            <w:kinsoku/>
            <w:wordWrap/>
            <w:overflowPunct/>
            <w:topLinePunct w:val="0"/>
            <w:autoSpaceDE/>
            <w:autoSpaceDN/>
            <w:bidi w:val="0"/>
            <w:adjustRightInd/>
            <w:snapToGrid/>
            <w:spacing w:line="360" w:lineRule="auto"/>
            <w:textAlignment w:val="auto"/>
          </w:pPr>
          <w:r>
            <w:rPr>
              <w:rFonts w:hint="eastAsia" w:ascii="仿宋" w:hAnsi="仿宋" w:eastAsia="仿宋" w:cs="仿宋"/>
            </w:rPr>
            <w:fldChar w:fldCharType="end"/>
          </w:r>
        </w:p>
      </w:sdtContent>
    </w:sdt>
    <w:p/>
    <w:p/>
    <w:p/>
    <w:p/>
    <w:p/>
    <w:p/>
    <w:p/>
    <w:p/>
    <w:p/>
    <w:p/>
    <w:p/>
    <w:p/>
    <w:p>
      <w:pPr>
        <w:pStyle w:val="2"/>
        <w:rPr>
          <w:lang w:eastAsia="zh-CN"/>
        </w:rPr>
      </w:pPr>
      <w:bookmarkStart w:id="1" w:name="_Toc25977"/>
      <w:r>
        <w:rPr>
          <w:lang w:eastAsia="zh-CN"/>
        </w:rPr>
        <w:t>教学实施报告</w:t>
      </w:r>
      <w:bookmarkEnd w:id="1"/>
    </w:p>
    <w:p>
      <w:pPr>
        <w:pStyle w:val="3"/>
        <w:rPr>
          <w:lang w:eastAsia="zh-CN"/>
        </w:rPr>
      </w:pPr>
      <w:bookmarkStart w:id="2" w:name="_Toc26393"/>
      <w:r>
        <w:rPr>
          <w:lang w:eastAsia="zh-CN"/>
        </w:rPr>
        <w:t>一、教学整体设计</w:t>
      </w:r>
      <w:bookmarkEnd w:id="2"/>
    </w:p>
    <w:p>
      <w:pPr>
        <w:pStyle w:val="4"/>
        <w:rPr>
          <w:lang w:eastAsia="zh-CN"/>
        </w:rPr>
      </w:pPr>
      <w:bookmarkStart w:id="3" w:name="_Toc8307"/>
      <w:r>
        <w:rPr>
          <w:lang w:eastAsia="zh-CN"/>
        </w:rPr>
        <w:t>（一）教学内容</w:t>
      </w:r>
      <w:bookmarkEnd w:id="3"/>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ascii="宋体" w:hAnsi="宋体" w:eastAsia="宋体" w:cs="宋体"/>
          <w:sz w:val="28"/>
          <w:szCs w:val="28"/>
          <w:lang w:eastAsia="zh-CN"/>
        </w:rPr>
      </w:pPr>
      <w:r>
        <w:rPr>
          <w:rFonts w:hint="eastAsia" w:ascii="宋体" w:hAnsi="宋体" w:eastAsia="宋体" w:cs="宋体"/>
          <w:sz w:val="28"/>
          <w:szCs w:val="28"/>
          <w:lang w:eastAsia="zh-CN"/>
        </w:rPr>
        <w:t>此次参赛内容选取《毛泽东思想和中国特色社会主义理论体系概论》教材中第二章、第三章的完整教学内容。第二章新民主主义革命理论主要是了解新民主主义革命理论形成的依据；认识新民主主义革命的总路线和基本纲领；了解新民主主义革命道路；掌握新民主主义革命的基本经验；认识新民主主义革命理论的重要意义。第三章社会主义改造理论，主要是了解我国新民主主义社会的过渡性质和社会主义改造的历史必然性；掌握社会主义改造的原则、方针及历史经验；知道中国走社会主义道路是历史的选择。</w:t>
      </w:r>
    </w:p>
    <w:p>
      <w:pPr>
        <w:pStyle w:val="4"/>
        <w:numPr>
          <w:ilvl w:val="0"/>
          <w:numId w:val="1"/>
        </w:numPr>
      </w:pPr>
      <w:bookmarkStart w:id="4" w:name="_Toc12002"/>
      <w:r>
        <w:t>学情分析</w:t>
      </w:r>
      <w:bookmarkEnd w:id="4"/>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本门课程授课对象是高职学生。现在的学生都是00后，他们积极热情、乐于接受新生事物、有梦想，动手能力强、可塑性强，但是理论基础薄弱、学习的主动性较弱。针对以上学情，为培养学生自信心，提高学生学习的积极性和主动性，我们采取的措施有：1、突出学生主体地位；2、发挥教师主导作用；3、突出职业教育特色。以此来增强学习积极性和主动性。</w:t>
      </w:r>
    </w:p>
    <w:p>
      <w:pPr>
        <w:pStyle w:val="4"/>
        <w:rPr>
          <w:lang w:eastAsia="zh-CN"/>
        </w:rPr>
      </w:pPr>
      <w:bookmarkStart w:id="5" w:name="_Toc13455"/>
      <w:r>
        <w:rPr>
          <w:lang w:eastAsia="zh-CN"/>
        </w:rPr>
        <w:t>（三）教学目标</w:t>
      </w:r>
      <w:bookmarkEnd w:id="5"/>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1.知识目标：通过第二章的教学，使学生熟悉新民主主义革命总路线，掌握新民主主义的政治、经济和文化纲领；第三章的教学，使学生了解中国走向社会主义的必然性，掌握社会主义改造的内容和历史经验。</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2.能力目标：第二章的教学，理解毛泽东为代表的中国共产党人坚持把马克思列宁主义的基本原理与中国革命的实践相结合的一次重大突破，认识它的历史意义和理论启迪；第三章的教学，学生能够深入了解和掌握中国由新民主主义社会向社会主义过渡的历史必然性，学习党在过渡时期的总路线。</w:t>
      </w:r>
    </w:p>
    <w:p>
      <w:pPr>
        <w:spacing w:line="360" w:lineRule="auto"/>
        <w:ind w:firstLine="560" w:firstLineChars="200"/>
        <w:rPr>
          <w:rFonts w:ascii="宋体" w:hAnsi="宋体" w:eastAsia="宋体" w:cs="宋体"/>
          <w:color w:val="auto"/>
          <w:sz w:val="28"/>
          <w:szCs w:val="28"/>
          <w:lang w:eastAsia="zh-CN"/>
        </w:rPr>
      </w:pPr>
      <w:r>
        <w:rPr>
          <w:rFonts w:hint="eastAsia" w:ascii="宋体" w:hAnsi="宋体" w:eastAsia="宋体" w:cs="宋体"/>
          <w:sz w:val="28"/>
          <w:szCs w:val="28"/>
          <w:lang w:eastAsia="zh-CN"/>
        </w:rPr>
        <w:t>3.情感目标：第二章的教学，理解党在新民主主义革命的过程中付出的艰辛努力，增强对党的热爱情感；第三章的教学，学生能懂得社会主义改造胜利完成，建立社会主义制度的伟大历史意义。</w:t>
      </w:r>
    </w:p>
    <w:p>
      <w:pPr>
        <w:pStyle w:val="4"/>
        <w:rPr>
          <w:lang w:eastAsia="zh-CN"/>
        </w:rPr>
      </w:pPr>
      <w:bookmarkStart w:id="6" w:name="_Toc12111"/>
      <w:r>
        <w:rPr>
          <w:lang w:eastAsia="zh-CN"/>
        </w:rPr>
        <w:t>（四）教学过程</w:t>
      </w:r>
      <w:bookmarkEnd w:id="6"/>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0288" behindDoc="1" locked="0" layoutInCell="1" allowOverlap="1">
            <wp:simplePos x="0" y="0"/>
            <wp:positionH relativeFrom="page">
              <wp:posOffset>2346960</wp:posOffset>
            </wp:positionH>
            <wp:positionV relativeFrom="page">
              <wp:posOffset>6796405</wp:posOffset>
            </wp:positionV>
            <wp:extent cx="3161665" cy="3674110"/>
            <wp:effectExtent l="0" t="0" r="635" b="889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cstate="print"/>
                    <a:stretch>
                      <a:fillRect/>
                    </a:stretch>
                  </pic:blipFill>
                  <pic:spPr>
                    <a:xfrm>
                      <a:off x="0" y="0"/>
                      <a:ext cx="3161665" cy="3674110"/>
                    </a:xfrm>
                    <a:prstGeom prst="rect">
                      <a:avLst/>
                    </a:prstGeom>
                    <a:noFill/>
                    <a:ln>
                      <a:noFill/>
                    </a:ln>
                  </pic:spPr>
                </pic:pic>
              </a:graphicData>
            </a:graphic>
          </wp:anchor>
        </w:drawing>
      </w:r>
      <w:r>
        <w:rPr>
          <w:rFonts w:hint="eastAsia" w:ascii="宋体" w:hAnsi="宋体" w:eastAsia="宋体" w:cs="宋体"/>
          <w:sz w:val="28"/>
          <w:szCs w:val="28"/>
          <w:lang w:eastAsia="zh-CN"/>
        </w:rPr>
        <w:t>整个课程设计遵循课前、课中、课后三大环节。课前，教师在网络教学平台发布每一节课的预习任务；课中，教师按照教学实施计划组织课堂教学；课后，学生在网络教学平台完成教师所布置的作业，并进行对本次课的教学评价。</w:t>
      </w: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rPr>
          <w:rFonts w:ascii="仿宋" w:hAnsi="仿宋" w:cs="仿宋" w:eastAsiaTheme="minorEastAsia"/>
          <w:color w:val="000000"/>
          <w:spacing w:val="-10"/>
          <w:sz w:val="29"/>
          <w:szCs w:val="22"/>
          <w:lang w:eastAsia="zh-CN"/>
        </w:rPr>
      </w:pPr>
    </w:p>
    <w:p>
      <w:pPr>
        <w:spacing w:line="360" w:lineRule="auto"/>
        <w:jc w:val="center"/>
        <w:rPr>
          <w:rFonts w:ascii="宋体" w:hAnsi="宋体" w:eastAsia="宋体" w:cs="宋体"/>
          <w:color w:val="000000"/>
          <w:spacing w:val="-10"/>
          <w:lang w:eastAsia="zh-CN"/>
        </w:rPr>
      </w:pPr>
      <w:r>
        <w:rPr>
          <w:rFonts w:hint="eastAsia" w:ascii="宋体" w:hAnsi="宋体" w:eastAsia="宋体" w:cs="宋体"/>
          <w:color w:val="000000"/>
          <w:spacing w:val="-10"/>
          <w:lang w:eastAsia="zh-CN"/>
        </w:rPr>
        <w:t>图1 教学流程图</w:t>
      </w:r>
    </w:p>
    <w:p>
      <w:pPr>
        <w:pStyle w:val="3"/>
        <w:rPr>
          <w:lang w:eastAsia="zh-CN"/>
        </w:rPr>
      </w:pPr>
      <w:bookmarkStart w:id="7" w:name="_Toc32679"/>
      <w:r>
        <w:rPr>
          <w:lang w:eastAsia="zh-CN"/>
        </w:rPr>
        <w:t>二、教学实施过程</w:t>
      </w:r>
      <w:bookmarkEnd w:id="7"/>
    </w:p>
    <w:p>
      <w:pPr>
        <w:pStyle w:val="4"/>
        <w:rPr>
          <w:lang w:eastAsia="zh-CN"/>
        </w:rPr>
      </w:pPr>
      <w:bookmarkStart w:id="8" w:name="_Toc24841"/>
      <w:r>
        <w:rPr>
          <w:lang w:eastAsia="zh-CN"/>
        </w:rPr>
        <w:t>（一）教学活动</w:t>
      </w:r>
      <w:bookmarkEnd w:id="8"/>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1.课前</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教师们在线上线下课程中均采用了《对分易》《蓝墨云班课》等教学平台，在以往的教学中，对教学班级的考勤会占用大量的课堂时间，采用《对分易》等的“考勤”功能，节省了课堂时间，提高了课堂效率；开展新闻分享，让学生实时关注国家大事，提高学生的政治敏锐度和观察分析问题的能力。</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2.课中</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首先，运用网络教学平台，优化教学手段。在过去的课堂里，教师在针对知识点进行提问时，有些学生较为腼腆不敢举手发言，有些学生则非常积极活跃，采用《对分易》教学平台中“弹幕讨论”功能，学生可以直接使用手机发送字幕来表达自己的观点，通过这种形式来提高课堂的互动性，方便老师掌握学生的学习情况，并根据学生情况调整讲课速度；其次，利用《对分易》教学平台，在大屏幕上将全班同学的名字进行滚动播放，从中随机抽取几位同学回答问题，</w:t>
      </w:r>
      <w:r>
        <w:rPr>
          <w:rFonts w:hint="eastAsia" w:ascii="宋体" w:hAnsi="宋体" w:eastAsia="宋体" w:cs="宋体"/>
          <w:sz w:val="28"/>
          <w:szCs w:val="28"/>
          <w:lang w:val="en-US" w:eastAsia="zh-CN"/>
        </w:rPr>
        <w:t>在</w:t>
      </w:r>
      <w:r>
        <w:rPr>
          <w:rFonts w:hint="eastAsia" w:ascii="宋体" w:hAnsi="宋体" w:eastAsia="宋体" w:cs="宋体"/>
          <w:sz w:val="28"/>
          <w:szCs w:val="28"/>
          <w:lang w:eastAsia="zh-CN"/>
        </w:rPr>
        <w:t>增加课堂活跃度、提高学生在参与度</w:t>
      </w:r>
      <w:r>
        <w:rPr>
          <w:rFonts w:hint="eastAsia" w:ascii="宋体" w:hAnsi="宋体" w:eastAsia="宋体" w:cs="宋体"/>
          <w:sz w:val="28"/>
          <w:szCs w:val="28"/>
          <w:lang w:val="en-US" w:eastAsia="zh-CN"/>
        </w:rPr>
        <w:t>的同时</w:t>
      </w:r>
      <w:r>
        <w:rPr>
          <w:rFonts w:hint="eastAsia" w:ascii="宋体" w:hAnsi="宋体" w:eastAsia="宋体" w:cs="宋体"/>
          <w:sz w:val="28"/>
          <w:szCs w:val="28"/>
          <w:lang w:eastAsia="zh-CN"/>
        </w:rPr>
        <w:t>，让学生能够在整个课堂学习中有一种良好的氛围。同时“课堂提问”还能让老师更好地掌握学生的学习程度，学生是否能够准确的把握这一知识点，让学生在提问过程中加深对知识点记忆；再次，结合抗疫英雄事迹、时代楷模、学校优秀学生在疫情期间先进事迹，融入到教学当中，使学生们体会到榜样就在身边，作为新时代大学生应为实现中华民族伟大复兴的中国梦而不懈奋斗。</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3.课后</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（1）</w:t>
      </w:r>
      <w:r>
        <w:rPr>
          <w:rFonts w:hint="eastAsia" w:ascii="宋体" w:hAnsi="宋体" w:eastAsia="宋体" w:cs="宋体"/>
          <w:sz w:val="28"/>
          <w:szCs w:val="28"/>
          <w:lang w:val="en-US" w:eastAsia="zh-CN"/>
        </w:rPr>
        <w:t>结合第一部分毛泽东思想、新民主主义革命理论、社会主义改造的课程内容，布置实践作业，实践的主题是：诵读红色诗词，让党史“声”入人心。</w:t>
      </w:r>
      <w:r>
        <w:rPr>
          <w:rFonts w:hint="eastAsia" w:ascii="宋体" w:hAnsi="宋体" w:eastAsia="宋体" w:cs="宋体"/>
          <w:sz w:val="28"/>
          <w:szCs w:val="28"/>
          <w:lang w:eastAsia="zh-CN"/>
        </w:rPr>
        <w:t>通过这</w:t>
      </w:r>
      <w:r>
        <w:rPr>
          <w:rFonts w:hint="eastAsia" w:ascii="宋体" w:hAnsi="宋体" w:eastAsia="宋体" w:cs="宋体"/>
          <w:sz w:val="28"/>
          <w:szCs w:val="28"/>
          <w:lang w:val="en-US" w:eastAsia="zh-CN"/>
        </w:rPr>
        <w:t>次</w:t>
      </w:r>
      <w:r>
        <w:rPr>
          <w:rFonts w:hint="eastAsia" w:ascii="宋体" w:hAnsi="宋体" w:eastAsia="宋体" w:cs="宋体"/>
          <w:sz w:val="28"/>
          <w:szCs w:val="28"/>
          <w:lang w:eastAsia="zh-CN"/>
        </w:rPr>
        <w:t>实践作业，培养学生</w:t>
      </w:r>
      <w:r>
        <w:rPr>
          <w:rFonts w:hint="eastAsia" w:ascii="宋体" w:hAnsi="宋体" w:eastAsia="宋体" w:cs="宋体"/>
          <w:sz w:val="28"/>
          <w:szCs w:val="28"/>
          <w:lang w:val="en-US" w:eastAsia="zh-CN"/>
        </w:rPr>
        <w:t>的爱国情怀，使学生</w:t>
      </w:r>
      <w:r>
        <w:rPr>
          <w:rFonts w:hint="eastAsia" w:ascii="宋体" w:hAnsi="宋体" w:eastAsia="宋体" w:cs="宋体"/>
          <w:sz w:val="28"/>
          <w:szCs w:val="28"/>
          <w:lang w:eastAsia="zh-CN"/>
        </w:rPr>
        <w:t>怀着对党对祖国的深厚感情，朗诵分享诗词，将诗词的灵动、史实的厚重和诵读者的真挚，有机融为一体，让党史知识潜移默化地“声”入人心 。</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“北国风光，千里冰封，万里雪飘……”，1936年，在红军准备东渡黄河对日军作战时，清涧县高杰村的袁家沟的一场大雪，让毛泽东创作出了《沁园春·雪》，</w:t>
      </w:r>
      <w:r>
        <w:rPr>
          <w:rFonts w:hint="eastAsia" w:ascii="宋体" w:hAnsi="宋体" w:eastAsia="宋体" w:cs="宋体"/>
          <w:sz w:val="28"/>
          <w:szCs w:val="28"/>
          <w:lang w:val="en-US" w:eastAsia="zh-CN"/>
        </w:rPr>
        <w:t>学生们</w:t>
      </w:r>
      <w:r>
        <w:rPr>
          <w:rFonts w:hint="eastAsia" w:ascii="宋体" w:hAnsi="宋体" w:eastAsia="宋体" w:cs="宋体"/>
          <w:sz w:val="28"/>
          <w:szCs w:val="28"/>
          <w:lang w:eastAsia="zh-CN"/>
        </w:rPr>
        <w:t>用饱含深情的诵读，将大家的思绪带回到那个战火纷飞的年代，伟人那指点江山，欲与天公比高的气象风流，跃然于眼前。</w:t>
      </w:r>
    </w:p>
    <w:p>
      <w:pPr>
        <w:spacing w:line="360" w:lineRule="auto"/>
        <w:ind w:firstLine="560" w:firstLineChars="200"/>
        <w:rPr>
          <w:sz w:val="28"/>
          <w:szCs w:val="28"/>
          <w:lang w:eastAsia="zh-CN"/>
        </w:rPr>
      </w:pPr>
    </w:p>
    <w:p>
      <w:pPr>
        <w:jc w:val="center"/>
        <w:rPr>
          <w:rFonts w:eastAsia="宋体"/>
          <w:lang w:eastAsia="zh-CN"/>
        </w:rPr>
      </w:pPr>
    </w:p>
    <w:p>
      <w:pPr>
        <w:spacing w:line="360" w:lineRule="auto"/>
        <w:rPr>
          <w:rFonts w:eastAsia="宋体"/>
          <w:lang w:eastAsia="zh-CN"/>
        </w:rPr>
      </w:pPr>
      <w:r>
        <w:rPr>
          <w:rFonts w:hint="eastAsia" w:eastAsia="宋体"/>
          <w:lang w:eastAsia="zh-CN"/>
        </w:rPr>
        <w:drawing>
          <wp:inline distT="0" distB="0" distL="114300" distR="114300">
            <wp:extent cx="4849495" cy="2266950"/>
            <wp:effectExtent l="0" t="0" r="1905" b="6350"/>
            <wp:docPr id="13" name="图片 13" descr="425e27f8c061b2d4732c1297dcb1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5e27f8c061b2d4732c1297dcb1adc"/>
                    <pic:cNvPicPr>
                      <a:picLocks noChangeAspect="1"/>
                    </pic:cNvPicPr>
                  </pic:nvPicPr>
                  <pic:blipFill>
                    <a:blip r:embed="rId6" cstate="print"/>
                    <a:stretch>
                      <a:fillRect/>
                    </a:stretch>
                  </pic:blipFill>
                  <pic:spPr>
                    <a:xfrm>
                      <a:off x="0" y="0"/>
                      <a:ext cx="4849495" cy="2266950"/>
                    </a:xfrm>
                    <a:prstGeom prst="rect">
                      <a:avLst/>
                    </a:prstGeom>
                  </pic:spPr>
                </pic:pic>
              </a:graphicData>
            </a:graphic>
          </wp:inline>
        </w:drawing>
      </w:r>
    </w:p>
    <w:p>
      <w:pPr>
        <w:spacing w:line="360" w:lineRule="auto"/>
        <w:jc w:val="center"/>
        <w:rPr>
          <w:rFonts w:eastAsia="宋体"/>
          <w:lang w:eastAsia="zh-CN"/>
        </w:rPr>
      </w:pPr>
      <w:r>
        <w:rPr>
          <w:rFonts w:hint="eastAsia" w:eastAsia="宋体"/>
          <w:lang w:eastAsia="zh-CN"/>
        </w:rPr>
        <w:t>图</w:t>
      </w:r>
      <w:r>
        <w:rPr>
          <w:rFonts w:hint="eastAsia" w:eastAsia="宋体"/>
          <w:lang w:val="en-US" w:eastAsia="zh-CN"/>
        </w:rPr>
        <w:t>2</w:t>
      </w:r>
      <w:r>
        <w:rPr>
          <w:rFonts w:hint="eastAsia" w:eastAsia="宋体"/>
          <w:lang w:eastAsia="zh-CN"/>
        </w:rPr>
        <w:t xml:space="preserve"> 诵诗词</w:t>
      </w:r>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今年7月1日，参赛教师</w:t>
      </w:r>
      <w:r>
        <w:rPr>
          <w:rFonts w:hint="eastAsia" w:ascii="宋体" w:hAnsi="宋体" w:eastAsia="宋体" w:cs="宋体"/>
          <w:sz w:val="28"/>
          <w:szCs w:val="28"/>
          <w:lang w:val="en-US" w:eastAsia="zh-CN"/>
        </w:rPr>
        <w:t>徐端倪</w:t>
      </w:r>
      <w:r>
        <w:rPr>
          <w:rFonts w:hint="eastAsia" w:ascii="宋体" w:hAnsi="宋体" w:eastAsia="宋体" w:cs="宋体"/>
          <w:sz w:val="28"/>
          <w:szCs w:val="28"/>
          <w:lang w:eastAsia="zh-CN"/>
        </w:rPr>
        <w:t>带领学生们齐跳《国家》手语舞，用特殊的方式祝福伟大的党百岁生日快乐！</w:t>
      </w:r>
    </w:p>
    <w:p>
      <w:pPr>
        <w:spacing w:line="360" w:lineRule="auto"/>
        <w:jc w:val="center"/>
      </w:pPr>
      <w:r>
        <w:rPr>
          <w:lang w:eastAsia="zh-CN"/>
        </w:rPr>
        <w:drawing>
          <wp:inline distT="0" distB="0" distL="114300" distR="114300">
            <wp:extent cx="4869180" cy="2658110"/>
            <wp:effectExtent l="0" t="0" r="7620"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cstate="print"/>
                    <a:stretch>
                      <a:fillRect/>
                    </a:stretch>
                  </pic:blipFill>
                  <pic:spPr>
                    <a:xfrm>
                      <a:off x="0" y="0"/>
                      <a:ext cx="4869180" cy="2658110"/>
                    </a:xfrm>
                    <a:prstGeom prst="rect">
                      <a:avLst/>
                    </a:prstGeom>
                    <a:noFill/>
                    <a:ln>
                      <a:noFill/>
                    </a:ln>
                  </pic:spPr>
                </pic:pic>
              </a:graphicData>
            </a:graphic>
          </wp:inline>
        </w:drawing>
      </w:r>
    </w:p>
    <w:p>
      <w:pPr>
        <w:spacing w:line="360" w:lineRule="auto"/>
        <w:jc w:val="center"/>
        <w:rPr>
          <w:rFonts w:eastAsia="宋体"/>
          <w:lang w:eastAsia="zh-CN"/>
        </w:rPr>
      </w:pPr>
      <w:r>
        <w:rPr>
          <w:rFonts w:hint="eastAsia" w:eastAsia="宋体"/>
          <w:lang w:eastAsia="zh-CN"/>
        </w:rPr>
        <w:t>图</w:t>
      </w:r>
      <w:r>
        <w:rPr>
          <w:rFonts w:hint="eastAsia" w:eastAsia="宋体"/>
          <w:lang w:val="en-US" w:eastAsia="zh-CN"/>
        </w:rPr>
        <w:t>3</w:t>
      </w:r>
      <w:r>
        <w:rPr>
          <w:rFonts w:hint="eastAsia" w:eastAsia="宋体"/>
          <w:lang w:eastAsia="zh-CN"/>
        </w:rPr>
        <w:t xml:space="preserve"> 参赛教师</w:t>
      </w:r>
      <w:r>
        <w:rPr>
          <w:rFonts w:hint="eastAsia" w:eastAsia="宋体"/>
          <w:lang w:val="en-US" w:eastAsia="zh-CN"/>
        </w:rPr>
        <w:t>徐端倪</w:t>
      </w:r>
      <w:bookmarkStart w:id="16" w:name="_GoBack"/>
      <w:bookmarkEnd w:id="16"/>
      <w:r>
        <w:rPr>
          <w:rFonts w:hint="eastAsia" w:eastAsia="宋体"/>
          <w:lang w:eastAsia="zh-CN"/>
        </w:rPr>
        <w:t>带领学生表演手语操《国家》</w:t>
      </w:r>
    </w:p>
    <w:p>
      <w:pPr>
        <w:spacing w:line="360" w:lineRule="auto"/>
        <w:jc w:val="center"/>
        <w:rPr>
          <w:rFonts w:eastAsia="宋体"/>
          <w:lang w:eastAsia="zh-CN"/>
        </w:rPr>
      </w:pPr>
    </w:p>
    <w:p>
      <w:pPr>
        <w:pStyle w:val="4"/>
        <w:numPr>
          <w:ilvl w:val="0"/>
          <w:numId w:val="1"/>
        </w:numPr>
      </w:pPr>
      <w:bookmarkStart w:id="9" w:name="_Toc18708"/>
      <w:r>
        <w:t>教学评价</w:t>
      </w:r>
      <w:bookmarkEnd w:id="9"/>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每一学期课程结束后，我们组织学生需要填写问卷调查表，积极推进课后评价系统，方便教师从多元化角度掌握学生学习效果。除了课堂上的反馈及学生表现，教师还能通过问卷表反馈的信息，了解学生对课堂的评价及学习接受度，包含课堂打分、学生互评、自主填写意见等。老师可以根据学生反馈的信息，调节教学进度、教学内容和教学手段。</w:t>
      </w:r>
    </w:p>
    <w:p>
      <w:pPr>
        <w:pStyle w:val="3"/>
        <w:rPr>
          <w:lang w:eastAsia="zh-CN"/>
        </w:rPr>
      </w:pPr>
      <w:bookmarkStart w:id="10" w:name="_Toc8718"/>
      <w:r>
        <w:rPr>
          <w:rFonts w:hint="eastAsia"/>
          <w:lang w:eastAsia="zh-CN"/>
        </w:rPr>
        <w:t>三、学习效果</w:t>
      </w:r>
      <w:bookmarkEnd w:id="10"/>
    </w:p>
    <w:p>
      <w:pPr>
        <w:pStyle w:val="4"/>
        <w:bidi w:val="0"/>
        <w:rPr>
          <w:rFonts w:hint="eastAsia"/>
          <w:lang w:eastAsia="zh-CN"/>
        </w:rPr>
      </w:pPr>
      <w:bookmarkStart w:id="11" w:name="_Toc704"/>
      <w:r>
        <w:rPr>
          <w:rFonts w:hint="eastAsia"/>
          <w:lang w:eastAsia="zh-CN"/>
        </w:rPr>
        <w:t>（一）理论知识的掌握</w:t>
      </w:r>
      <w:bookmarkEnd w:id="11"/>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同比前两学期的阶段测试得分，本学期优化了教学方式，提高了教师教学能力，改进了教学手段，学生学习成效确实有所提高。相比 2019年第二学期，平均分数提高23%，相比2020年第二学期则提高了27%；本学期阶段性测试一的平均分数相比上一学期提高了21%，相比 2019 年第二学期提高了26%。</w:t>
      </w:r>
    </w:p>
    <w:p>
      <w:pPr>
        <w:pStyle w:val="4"/>
        <w:bidi w:val="0"/>
        <w:rPr>
          <w:rFonts w:hint="eastAsia"/>
          <w:lang w:eastAsia="zh-CN"/>
        </w:rPr>
      </w:pPr>
      <w:bookmarkStart w:id="12" w:name="_Toc251"/>
      <w:r>
        <w:rPr>
          <w:rFonts w:hint="eastAsia"/>
          <w:lang w:eastAsia="zh-CN"/>
        </w:rPr>
        <w:t>（二）企业和社会评价认可度高</w:t>
      </w:r>
      <w:bookmarkEnd w:id="12"/>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学习成效的提高，促进了学生综合素质的提高，表现在考试成绩提高和参与社会实践的积极性上，特别是对党的政治热情越来越高，如递交入党申请书的学生、主动参加党课学习人数的明显增多；如在面试过程中，企业对学生的评价很高，学生在工作中得到了企业的认可，企业满意度与2018年相比，提高了27%。</w:t>
      </w:r>
    </w:p>
    <w:p>
      <w:pPr>
        <w:pStyle w:val="3"/>
        <w:rPr>
          <w:lang w:eastAsia="zh-CN"/>
        </w:rPr>
      </w:pPr>
      <w:bookmarkStart w:id="13" w:name="_Toc15299"/>
      <w:r>
        <w:rPr>
          <w:lang w:eastAsia="zh-CN"/>
        </w:rPr>
        <w:t>四、反思改进</w:t>
      </w:r>
      <w:bookmarkEnd w:id="13"/>
    </w:p>
    <w:p>
      <w:pPr>
        <w:pStyle w:val="4"/>
        <w:bidi w:val="0"/>
        <w:rPr>
          <w:rFonts w:hint="eastAsia"/>
          <w:lang w:eastAsia="zh-CN"/>
        </w:rPr>
      </w:pPr>
      <w:bookmarkStart w:id="14" w:name="_Toc26547"/>
      <w:r>
        <w:rPr>
          <w:rFonts w:hint="eastAsia"/>
          <w:lang w:eastAsia="zh-CN"/>
        </w:rPr>
        <w:t>（一）加强教学设计和集体备课力度</w:t>
      </w:r>
      <w:bookmarkEnd w:id="14"/>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目前，学院年轻教师占比较多，授课任务较重，统筹骨干力量，加强</w:t>
      </w:r>
      <w:r>
        <w:rPr>
          <w:rFonts w:hint="eastAsia" w:ascii="宋体" w:hAnsi="宋体" w:eastAsia="宋体" w:cs="宋体"/>
          <w:sz w:val="28"/>
          <w:szCs w:val="28"/>
          <w:lang w:eastAsia="zh-CN"/>
        </w:rPr>
        <w:t>集体备课力度，对于提高备课效率、提高教学质量和提升教学效果意义重大。首先，加强</w:t>
      </w:r>
      <w:r>
        <w:rPr>
          <w:rFonts w:hint="eastAsia" w:ascii="宋体" w:hAnsi="宋体" w:eastAsia="宋体" w:cs="宋体"/>
          <w:sz w:val="28"/>
          <w:szCs w:val="28"/>
          <w:lang w:eastAsia="zh-CN"/>
        </w:rPr>
        <w:t>集体备课力度，统一教案和课件，包括教学环节中的教学手段的运用。同时，加强教师的理论学习和教学经验的交流的经常性组织。其次，加强对教学对象的研究，加强教学针对性。针对学生文化基础弱，学习积极性不高的情况，加强教学设计，在不同的教学环节上采用多种方法和手段，调动学生学习的积极性，发挥好学生学习主体作用；教师要在灵活掌握课程内容的基础上，增加与课程内容相关的人物故事和新鲜知识，寓故事于知识，带动学生的学习兴趣。第三，教师要积极主动承担科研任务，在科研中提高思想认识、开拓眼界和理论水平，以科研带动教学，实现教学和科研同推进、共提高。</w:t>
      </w:r>
    </w:p>
    <w:p>
      <w:pPr>
        <w:pStyle w:val="4"/>
        <w:bidi w:val="0"/>
        <w:rPr>
          <w:rFonts w:hint="eastAsia"/>
          <w:lang w:eastAsia="zh-CN"/>
        </w:rPr>
      </w:pPr>
      <w:bookmarkStart w:id="15" w:name="_Toc6391"/>
      <w:r>
        <w:rPr>
          <w:rFonts w:hint="eastAsia"/>
          <w:lang w:eastAsia="zh-CN"/>
        </w:rPr>
        <w:t>（</w:t>
      </w:r>
      <w:r>
        <w:rPr>
          <w:rFonts w:hint="eastAsia"/>
          <w:lang w:val="en-US" w:eastAsia="zh-CN"/>
        </w:rPr>
        <w:t>二</w:t>
      </w:r>
      <w:r>
        <w:rPr>
          <w:rFonts w:hint="eastAsia"/>
          <w:lang w:eastAsia="zh-CN"/>
        </w:rPr>
        <w:t>）改进教学方法和教学手段</w:t>
      </w:r>
      <w:bookmarkEnd w:id="15"/>
    </w:p>
    <w:p>
      <w:pPr>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t>针对教学对象，研究合适的教学方法，采用合适的教学手段。首先，在教学活动当中增加更多的互动环节，带动课堂氛围，增强学生参与课堂的积极性，增加课堂的趣味性。再次，积极开展第二课堂，在进行课外拓展的过程当中，让学生的思维跟随着老师的思路拓展出去，实现理论教学与实践教学的统一，以加深学生对教学内容的理解和掌握。同时，在教学实施过程中，充分发挥信息技术的作用，用现代化的教学手段让学生产生学习的积极性和参与度，同时，要克服网络平台在使用中的弊端。运用讲演式、启发式、讨论式座谈式等教学手段，让学生真正参与到教学中来，尽量避免教师一人讲，学生被动听的教学模式。总之，教师要多措并举，把课讲活，把学生的学习兴趣激活，教学相长，完成培养政治合格的职专人才的任务</w:t>
      </w:r>
      <w:r>
        <w:rPr>
          <w:rFonts w:hint="eastAsia" w:ascii="宋体" w:hAnsi="宋体" w:eastAsia="宋体" w:cs="宋体"/>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129ED"/>
    <w:multiLevelType w:val="singleLevel"/>
    <w:tmpl w:val="9FC129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10DF70D8"/>
    <w:rsid w:val="0015299A"/>
    <w:rsid w:val="003A1162"/>
    <w:rsid w:val="004122F6"/>
    <w:rsid w:val="0051452A"/>
    <w:rsid w:val="00914E80"/>
    <w:rsid w:val="00917DBF"/>
    <w:rsid w:val="00AD71AD"/>
    <w:rsid w:val="00B93A10"/>
    <w:rsid w:val="00DD34B2"/>
    <w:rsid w:val="02E40EE9"/>
    <w:rsid w:val="03257134"/>
    <w:rsid w:val="05227D1A"/>
    <w:rsid w:val="05F35721"/>
    <w:rsid w:val="06336D3A"/>
    <w:rsid w:val="08DF59EF"/>
    <w:rsid w:val="0C4F77B6"/>
    <w:rsid w:val="0E6C1EDD"/>
    <w:rsid w:val="0EA34122"/>
    <w:rsid w:val="10DF70D8"/>
    <w:rsid w:val="13CC0869"/>
    <w:rsid w:val="1441116F"/>
    <w:rsid w:val="178B7CA6"/>
    <w:rsid w:val="1C2E4AB6"/>
    <w:rsid w:val="1D355F8D"/>
    <w:rsid w:val="1E587A05"/>
    <w:rsid w:val="1FEF7579"/>
    <w:rsid w:val="21286D10"/>
    <w:rsid w:val="25475BBE"/>
    <w:rsid w:val="29CD6BF4"/>
    <w:rsid w:val="2ADB0458"/>
    <w:rsid w:val="34BC1222"/>
    <w:rsid w:val="364E6107"/>
    <w:rsid w:val="3FD40B65"/>
    <w:rsid w:val="4AD80644"/>
    <w:rsid w:val="4C5074A8"/>
    <w:rsid w:val="4EE20D2B"/>
    <w:rsid w:val="52C91348"/>
    <w:rsid w:val="553E03DE"/>
    <w:rsid w:val="5A853BF3"/>
    <w:rsid w:val="5D1E24C5"/>
    <w:rsid w:val="5F174C5C"/>
    <w:rsid w:val="5F606695"/>
    <w:rsid w:val="63693AA9"/>
    <w:rsid w:val="65604CCF"/>
    <w:rsid w:val="6DE826B7"/>
    <w:rsid w:val="7FFB3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0"/>
    <w:pPr>
      <w:keepNext/>
      <w:keepLines/>
      <w:spacing w:line="576" w:lineRule="auto"/>
      <w:jc w:val="center"/>
      <w:outlineLvl w:val="0"/>
    </w:pPr>
    <w:rPr>
      <w:rFonts w:eastAsia="黑体"/>
      <w:kern w:val="44"/>
      <w:sz w:val="36"/>
    </w:rPr>
  </w:style>
  <w:style w:type="paragraph" w:styleId="3">
    <w:name w:val="heading 2"/>
    <w:basedOn w:val="1"/>
    <w:next w:val="1"/>
    <w:unhideWhenUsed/>
    <w:qFormat/>
    <w:uiPriority w:val="0"/>
    <w:pPr>
      <w:keepNext/>
      <w:keepLines/>
      <w:spacing w:line="413" w:lineRule="auto"/>
      <w:jc w:val="both"/>
      <w:outlineLvl w:val="1"/>
    </w:pPr>
    <w:rPr>
      <w:rFonts w:ascii="Arial" w:hAnsi="Arial" w:eastAsia="黑体"/>
      <w:sz w:val="32"/>
    </w:rPr>
  </w:style>
  <w:style w:type="paragraph" w:styleId="4">
    <w:name w:val="heading 3"/>
    <w:basedOn w:val="1"/>
    <w:next w:val="1"/>
    <w:unhideWhenUsed/>
    <w:qFormat/>
    <w:uiPriority w:val="0"/>
    <w:pPr>
      <w:keepNext/>
      <w:keepLines/>
      <w:spacing w:line="413" w:lineRule="auto"/>
      <w:jc w:val="both"/>
      <w:outlineLvl w:val="2"/>
    </w:pPr>
    <w:rPr>
      <w:rFonts w:eastAsia="宋体"/>
      <w:sz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Balloon Text"/>
    <w:basedOn w:val="1"/>
    <w:link w:val="29"/>
    <w:qFormat/>
    <w:uiPriority w:val="0"/>
    <w:rPr>
      <w:sz w:val="18"/>
      <w:szCs w:val="18"/>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Autospacing="1" w:afterAutospacing="1"/>
    </w:pPr>
    <w:rPr>
      <w:lang w:eastAsia="zh-CN"/>
    </w:rPr>
  </w:style>
  <w:style w:type="character" w:styleId="14">
    <w:name w:val="Strong"/>
    <w:basedOn w:val="13"/>
    <w:qFormat/>
    <w:uiPriority w:val="0"/>
    <w:rPr>
      <w:b/>
      <w:sz w:val="24"/>
      <w:szCs w:val="24"/>
      <w:vertAlign w:val="baseline"/>
    </w:rPr>
  </w:style>
  <w:style w:type="character" w:styleId="15">
    <w:name w:val="FollowedHyperlink"/>
    <w:basedOn w:val="13"/>
    <w:qFormat/>
    <w:uiPriority w:val="0"/>
    <w:rPr>
      <w:color w:val="800080"/>
      <w:u w:val="none"/>
    </w:rPr>
  </w:style>
  <w:style w:type="character" w:styleId="16">
    <w:name w:val="Hyperlink"/>
    <w:basedOn w:val="13"/>
    <w:qFormat/>
    <w:uiPriority w:val="0"/>
    <w:rPr>
      <w:color w:val="0000FF"/>
      <w:u w:val="none"/>
    </w:rPr>
  </w:style>
  <w:style w:type="character" w:customStyle="1" w:styleId="17">
    <w:name w:val="name4"/>
    <w:basedOn w:val="13"/>
    <w:qFormat/>
    <w:uiPriority w:val="0"/>
    <w:rPr>
      <w:sz w:val="23"/>
      <w:szCs w:val="23"/>
    </w:rPr>
  </w:style>
  <w:style w:type="character" w:customStyle="1" w:styleId="18">
    <w:name w:val="name5"/>
    <w:basedOn w:val="13"/>
    <w:qFormat/>
    <w:uiPriority w:val="0"/>
    <w:rPr>
      <w:sz w:val="23"/>
      <w:szCs w:val="23"/>
    </w:rPr>
  </w:style>
  <w:style w:type="character" w:customStyle="1" w:styleId="19">
    <w:name w:val="name6"/>
    <w:basedOn w:val="13"/>
    <w:qFormat/>
    <w:uiPriority w:val="0"/>
    <w:rPr>
      <w:sz w:val="23"/>
      <w:szCs w:val="23"/>
    </w:rPr>
  </w:style>
  <w:style w:type="character" w:customStyle="1" w:styleId="20">
    <w:name w:val="name7"/>
    <w:basedOn w:val="13"/>
    <w:qFormat/>
    <w:uiPriority w:val="0"/>
    <w:rPr>
      <w:sz w:val="23"/>
      <w:szCs w:val="23"/>
    </w:rPr>
  </w:style>
  <w:style w:type="character" w:customStyle="1" w:styleId="21">
    <w:name w:val="name8"/>
    <w:basedOn w:val="13"/>
    <w:qFormat/>
    <w:uiPriority w:val="0"/>
    <w:rPr>
      <w:sz w:val="23"/>
      <w:szCs w:val="23"/>
    </w:rPr>
  </w:style>
  <w:style w:type="character" w:customStyle="1" w:styleId="22">
    <w:name w:val="turn"/>
    <w:basedOn w:val="13"/>
    <w:qFormat/>
    <w:uiPriority w:val="0"/>
    <w:rPr>
      <w:color w:val="D11305"/>
      <w:sz w:val="12"/>
      <w:szCs w:val="12"/>
      <w:shd w:val="clear" w:color="auto" w:fill="FFEFEE"/>
    </w:rPr>
  </w:style>
  <w:style w:type="character" w:customStyle="1" w:styleId="23">
    <w:name w:val="txt"/>
    <w:basedOn w:val="13"/>
    <w:qFormat/>
    <w:uiPriority w:val="0"/>
    <w:rPr>
      <w:sz w:val="14"/>
      <w:szCs w:val="14"/>
    </w:rPr>
  </w:style>
  <w:style w:type="character" w:customStyle="1" w:styleId="24">
    <w:name w:val="fl2"/>
    <w:basedOn w:val="13"/>
    <w:qFormat/>
    <w:uiPriority w:val="0"/>
    <w:rPr>
      <w:color w:val="D11305"/>
    </w:rPr>
  </w:style>
  <w:style w:type="character" w:customStyle="1" w:styleId="25">
    <w:name w:val="fr2"/>
    <w:basedOn w:val="13"/>
    <w:qFormat/>
    <w:uiPriority w:val="0"/>
    <w:rPr>
      <w:color w:val="D11305"/>
      <w:sz w:val="12"/>
      <w:szCs w:val="12"/>
      <w:shd w:val="clear" w:color="auto" w:fill="FFEFEE"/>
    </w:rPr>
  </w:style>
  <w:style w:type="character" w:customStyle="1" w:styleId="26">
    <w:name w:val="moneytype"/>
    <w:basedOn w:val="13"/>
    <w:qFormat/>
    <w:uiPriority w:val="0"/>
  </w:style>
  <w:style w:type="character" w:customStyle="1" w:styleId="27">
    <w:name w:val="level2"/>
    <w:basedOn w:val="13"/>
    <w:qFormat/>
    <w:uiPriority w:val="0"/>
  </w:style>
  <w:style w:type="character" w:customStyle="1" w:styleId="28">
    <w:name w:val="icon4"/>
    <w:basedOn w:val="13"/>
    <w:qFormat/>
    <w:uiPriority w:val="0"/>
    <w:rPr>
      <w:shd w:val="clear" w:color="auto" w:fill="F5F5F5"/>
    </w:rPr>
  </w:style>
  <w:style w:type="character" w:customStyle="1" w:styleId="29">
    <w:name w:val="批注框文本 Char"/>
    <w:basedOn w:val="13"/>
    <w:link w:val="6"/>
    <w:uiPriority w:val="0"/>
    <w:rPr>
      <w:rFonts w:eastAsia="Times New Roman"/>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648</Words>
  <Characters>3694</Characters>
  <Lines>30</Lines>
  <Paragraphs>8</Paragraphs>
  <TotalTime>1</TotalTime>
  <ScaleCrop>false</ScaleCrop>
  <LinksUpToDate>false</LinksUpToDate>
  <CharactersWithSpaces>4334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2021-10-23T09:01:00Z</dcterms:created>
  <dc:creator>徐端倪</dc:creator>
  <cp:lastModifiedBy>徐端倪</cp:lastModifiedBy>
  <dcterms:modified xsi:type="dcterms:W3CDTF">2021-10-30T13:07:34Z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456394AD727C436CA1E3EED870583A88</vt:lpwstr>
  </property>
</Properties>
</file>