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leftChars="0"/>
        <w:jc w:val="center"/>
        <w:rPr>
          <w:rFonts w:hint="eastAsia" w:eastAsiaTheme="minorEastAsia"/>
          <w:color w:val="0000FF"/>
          <w:sz w:val="28"/>
          <w:szCs w:val="28"/>
          <w:lang w:val="en-US" w:eastAsia="zh-CN"/>
        </w:rPr>
      </w:pPr>
      <w:r>
        <w:rPr>
          <w:rFonts w:hint="eastAsia" w:ascii="黑体" w:hAnsi="黑体" w:eastAsia="黑体" w:cs="黑体"/>
          <w:color w:val="0000FF"/>
          <w:sz w:val="32"/>
          <w:szCs w:val="32"/>
          <w:lang w:val="en-US" w:eastAsia="zh-CN"/>
        </w:rPr>
        <w:t>混凝土结构工程施工第三次测</w:t>
      </w:r>
      <w:r>
        <w:rPr>
          <w:rFonts w:hint="eastAsia"/>
          <w:color w:val="0000FF"/>
          <w:sz w:val="32"/>
          <w:szCs w:val="32"/>
          <w:lang w:val="en-US" w:eastAsia="zh-CN"/>
        </w:rPr>
        <w:t>验</w:t>
      </w:r>
    </w:p>
    <w:p>
      <w:pPr>
        <w:numPr>
          <w:numId w:val="0"/>
        </w:numPr>
        <w:ind w:leftChars="0"/>
        <w:rPr>
          <w:rFonts w:hint="eastAsia"/>
          <w:color w:val="0000FF"/>
          <w:sz w:val="28"/>
          <w:szCs w:val="28"/>
        </w:rPr>
      </w:pPr>
      <w:r>
        <w:rPr>
          <w:color w:val="0000FF"/>
          <w:sz w:val="28"/>
          <w:szCs w:val="28"/>
        </w:rPr>
        <w:t>大体积混凝土浇筑时，对平面尺寸不太大的结构宜选用</w:t>
      </w:r>
      <w:r>
        <w:rPr>
          <w:rFonts w:hint="eastAsia"/>
          <w:color w:val="0000FF"/>
          <w:sz w:val="28"/>
          <w:szCs w:val="28"/>
        </w:rPr>
        <w:t>（    ）。</w:t>
      </w:r>
    </w:p>
    <w:p>
      <w:pPr>
        <w:numPr>
          <w:ilvl w:val="1"/>
          <w:numId w:val="1"/>
        </w:numPr>
        <w:rPr>
          <w:color w:val="0000FF"/>
          <w:sz w:val="28"/>
          <w:szCs w:val="28"/>
        </w:rPr>
        <w:sectPr>
          <w:pgSz w:w="11906" w:h="16838"/>
          <w:pgMar w:top="1440" w:right="1800" w:bottom="1440" w:left="1800" w:header="851" w:footer="992" w:gutter="0"/>
          <w:cols w:space="425" w:num="1"/>
          <w:docGrid w:type="lines" w:linePitch="312" w:charSpace="0"/>
        </w:sectPr>
      </w:pPr>
      <w:bookmarkStart w:id="0" w:name="_GoBack"/>
      <w:bookmarkEnd w:id="0"/>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分段分层</w:t>
      </w: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斜面分层</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留置后浇带</w:t>
      </w: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全面分层</w:t>
      </w:r>
    </w:p>
    <w:p>
      <w:pPr>
        <w:numPr>
          <w:ilvl w:val="0"/>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关于水下浇筑混凝土，以下叙述正确的是</w:t>
      </w:r>
      <w:r>
        <w:rPr>
          <w:rFonts w:hint="eastAsia"/>
          <w:color w:val="000000" w:themeColor="text1"/>
          <w:sz w:val="28"/>
          <w:szCs w:val="28"/>
          <w14:textFill>
            <w14:solidFill>
              <w14:schemeClr w14:val="tx1"/>
            </w14:solidFill>
          </w14:textFill>
        </w:rPr>
        <w:t>（    ）。</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混凝土浇筑可以中断</w:t>
      </w: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要求采用干硬性混凝土</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w:t>
      </w:r>
      <w:r>
        <w:rPr>
          <w:color w:val="000000" w:themeColor="text1"/>
          <w:sz w:val="28"/>
          <w:szCs w:val="28"/>
          <w14:textFill>
            <w14:solidFill>
              <w14:schemeClr w14:val="tx1"/>
            </w14:solidFill>
          </w14:textFill>
        </w:rPr>
        <w:t>般选用导管法</w:t>
      </w: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对骨料粒径没有限制</w:t>
      </w:r>
    </w:p>
    <w:p>
      <w:pPr>
        <w:numPr>
          <w:ilvl w:val="0"/>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对于钢筋较密或断面较深较窄混凝土构件，混凝土振捣时宜采用</w:t>
      </w:r>
      <w:r>
        <w:rPr>
          <w:rFonts w:hint="eastAsia"/>
          <w:color w:val="000000" w:themeColor="text1"/>
          <w:sz w:val="28"/>
          <w:szCs w:val="28"/>
          <w14:textFill>
            <w14:solidFill>
              <w14:schemeClr w14:val="tx1"/>
            </w14:solidFill>
          </w14:textFill>
        </w:rPr>
        <w:t>（    ）。</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内部振捣器</w:t>
      </w: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外部振捣器</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振动台</w:t>
      </w: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表面振捣器</w:t>
      </w:r>
    </w:p>
    <w:p>
      <w:pPr>
        <w:numPr>
          <w:ilvl w:val="0"/>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预制混凝土构件生产时，为加快施工进度，可采用哪种养护方式？</w:t>
      </w:r>
      <w:r>
        <w:rPr>
          <w:rFonts w:hint="eastAsia"/>
          <w:color w:val="000000" w:themeColor="text1"/>
          <w:sz w:val="28"/>
          <w:szCs w:val="28"/>
          <w14:textFill>
            <w14:solidFill>
              <w14:schemeClr w14:val="tx1"/>
            </w14:solidFill>
          </w14:textFill>
        </w:rPr>
        <w:t>（    ）</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覆盖浇水养护</w:t>
      </w: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加热养护</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塑料薄膜养护</w:t>
      </w: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涂刷养护剂养护</w:t>
      </w:r>
    </w:p>
    <w:p>
      <w:pPr>
        <w:numPr>
          <w:ilvl w:val="0"/>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抗渗混凝土养护时间（自然养护）至少为</w:t>
      </w:r>
      <w:r>
        <w:rPr>
          <w:rFonts w:hint="eastAsia"/>
          <w:color w:val="000000" w:themeColor="text1"/>
          <w:sz w:val="28"/>
          <w:szCs w:val="28"/>
          <w14:textFill>
            <w14:solidFill>
              <w14:schemeClr w14:val="tx1"/>
            </w14:solidFill>
          </w14:textFill>
        </w:rPr>
        <w:t>（    ）</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7d</w:t>
      </w: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12d</w:t>
      </w: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14d</w:t>
      </w:r>
    </w:p>
    <w:p>
      <w:pPr>
        <w:numPr>
          <w:ilvl w:val="1"/>
          <w:numId w:val="1"/>
        </w:num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28d </w:t>
      </w:r>
    </w:p>
    <w:p>
      <w:pPr>
        <w:numPr>
          <w:ilvl w:val="0"/>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混凝土在温度为20</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，相对湿度为90%以上的潮湿环境或水中的条件下进行的养护称为（    ）。</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标准养护</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自然养护</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真空养护</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湿热养护</w:t>
      </w:r>
    </w:p>
    <w:p>
      <w:pPr>
        <w:numPr>
          <w:ilvl w:val="0"/>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用于混凝土强度评定的试块应在什么地点留取？</w:t>
      </w:r>
      <w:r>
        <w:rPr>
          <w:rFonts w:hint="eastAsia"/>
          <w:color w:val="000000" w:themeColor="text1"/>
          <w:sz w:val="28"/>
          <w:szCs w:val="28"/>
          <w14:textFill>
            <w14:solidFill>
              <w14:schemeClr w14:val="tx1"/>
            </w14:solidFill>
          </w14:textFill>
        </w:rPr>
        <w:t>（    ）</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搅拌地点</w:t>
      </w: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运输途中</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浇筑地点</w:t>
      </w: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材料堆场附近</w:t>
      </w:r>
    </w:p>
    <w:p>
      <w:pPr>
        <w:numPr>
          <w:ilvl w:val="0"/>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混凝土强度评定每组试件强度代表值确定时，当最大值和最小值与中间值的差值均不大于中间值的15%时，应（    ）。</w:t>
      </w: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取三个试件强度的平均值作为该组的强度代表值</w:t>
      </w: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取中间值作为该组的强度代表值</w:t>
      </w: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取最大值作为该组的强度代表值</w:t>
      </w: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取最小值作为该组的强度代表值</w:t>
      </w:r>
    </w:p>
    <w:p>
      <w:pPr>
        <w:numPr>
          <w:ilvl w:val="0"/>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其他条件一定时混凝土强度随水灰比的增大而(    )。</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增大</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不变</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降低</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不一定</w:t>
      </w:r>
    </w:p>
    <w:p>
      <w:pPr>
        <w:numPr>
          <w:ilvl w:val="0"/>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裹砂石法混凝土搅拌工艺正确的投料顺序是</w:t>
      </w:r>
      <w:r>
        <w:rPr>
          <w:rFonts w:hint="eastAsia"/>
          <w:color w:val="000000" w:themeColor="text1"/>
          <w:sz w:val="28"/>
          <w:szCs w:val="28"/>
          <w14:textFill>
            <w14:solidFill>
              <w14:schemeClr w14:val="tx1"/>
            </w14:solidFill>
          </w14:textFill>
        </w:rPr>
        <w:t>（    ）。</w:t>
      </w: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全部水泥→全部水→全部骨料</w:t>
      </w: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全部骨料→70%水→全部水泥→30%水</w:t>
      </w: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部分水泥→70%水→全部骨料→30%水</w:t>
      </w: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全部骨料→全部水→全部水泥</w:t>
      </w:r>
    </w:p>
    <w:p>
      <w:pPr>
        <w:numPr>
          <w:ilvl w:val="0"/>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内部振捣器振捣混凝土结束的标志是</w:t>
      </w:r>
      <w:r>
        <w:rPr>
          <w:rFonts w:hint="eastAsia"/>
          <w:color w:val="000000" w:themeColor="text1"/>
          <w:sz w:val="28"/>
          <w:szCs w:val="28"/>
          <w14:textFill>
            <w14:solidFill>
              <w14:schemeClr w14:val="tx1"/>
            </w14:solidFill>
          </w14:textFill>
        </w:rPr>
        <w:t>（    ）</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有微量气泡冒出</w:t>
      </w: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水变浑浊</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无气泡冒出且水变清</w:t>
      </w:r>
    </w:p>
    <w:p>
      <w:pPr>
        <w:numPr>
          <w:ilvl w:val="1"/>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混凝土大面积凹陷</w:t>
      </w:r>
    </w:p>
    <w:p>
      <w:pPr>
        <w:numPr>
          <w:ilvl w:val="0"/>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混凝土表面缺少水泥砂浆而形成石子外露</w:t>
      </w:r>
      <w:r>
        <w:rPr>
          <w:rFonts w:hint="eastAsia"/>
          <w:color w:val="000000" w:themeColor="text1"/>
          <w:sz w:val="28"/>
          <w:szCs w:val="28"/>
          <w14:textFill>
            <w14:solidFill>
              <w14:schemeClr w14:val="tx1"/>
            </w14:solidFill>
          </w14:textFill>
        </w:rPr>
        <w:t>现象的混凝土外观质量缺陷称为（    ）。</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露筋</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蜂窝</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孔洞</w:t>
      </w:r>
    </w:p>
    <w:p>
      <w:pPr>
        <w:numPr>
          <w:ilvl w:val="1"/>
          <w:numId w:val="1"/>
        </w:num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疏松</w:t>
      </w:r>
    </w:p>
    <w:p>
      <w:pPr>
        <w:numPr>
          <w:ilvl w:val="0"/>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泵送混凝土是指，</w:t>
      </w:r>
      <w:r>
        <w:rPr>
          <w:color w:val="000000" w:themeColor="text1"/>
          <w:sz w:val="28"/>
          <w:szCs w:val="28"/>
          <w14:textFill>
            <w14:solidFill>
              <w14:schemeClr w14:val="tx1"/>
            </w14:solidFill>
          </w14:textFill>
        </w:rPr>
        <w:t>混凝土拌合物的坍落度不低于</w:t>
      </w:r>
      <w:r>
        <w:rPr>
          <w:rFonts w:hint="eastAsia"/>
          <w:color w:val="000000" w:themeColor="text1"/>
          <w:sz w:val="28"/>
          <w:szCs w:val="28"/>
          <w14:textFill>
            <w14:solidFill>
              <w14:schemeClr w14:val="tx1"/>
            </w14:solidFill>
          </w14:textFill>
        </w:rPr>
        <w:t>（    ），</w:t>
      </w:r>
      <w:r>
        <w:rPr>
          <w:color w:val="000000" w:themeColor="text1"/>
          <w:sz w:val="28"/>
          <w:szCs w:val="28"/>
          <w14:textFill>
            <w14:solidFill>
              <w14:schemeClr w14:val="tx1"/>
            </w14:solidFill>
          </w14:textFill>
        </w:rPr>
        <w:t>并用泵送施工的混凝土</w:t>
      </w:r>
      <w:r>
        <w:rPr>
          <w:rFonts w:hint="eastAsia"/>
          <w:color w:val="000000" w:themeColor="text1"/>
          <w:sz w:val="28"/>
          <w:szCs w:val="28"/>
          <w14:textFill>
            <w14:solidFill>
              <w14:schemeClr w14:val="tx1"/>
            </w14:solidFill>
          </w14:textFill>
        </w:rPr>
        <w:t>。</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50mm</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100mm</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150mm</w:t>
      </w:r>
    </w:p>
    <w:p>
      <w:pPr>
        <w:numPr>
          <w:ilvl w:val="1"/>
          <w:numId w:val="1"/>
        </w:num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200mm</w:t>
      </w:r>
    </w:p>
    <w:p>
      <w:pPr>
        <w:numPr>
          <w:ilvl w:val="0"/>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泵送混凝土的粗集料宜选用卵石，且其最大粒径与输送管内径之比不超过（    ）。</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1：2</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1：2.5</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1：3</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1：5</w:t>
      </w:r>
    </w:p>
    <w:p>
      <w:pPr>
        <w:numPr>
          <w:ilvl w:val="0"/>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泵送混凝土的粗集料选用碎石时，其最大粒径与输送管内径之比不超过（    ）。</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1：2</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1：2.5</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1：3</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1：5</w:t>
      </w:r>
    </w:p>
    <w:p>
      <w:pPr>
        <w:numPr>
          <w:ilvl w:val="0"/>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大体积混凝土是指，</w:t>
      </w:r>
      <w:r>
        <w:rPr>
          <w:color w:val="000000" w:themeColor="text1"/>
          <w:sz w:val="28"/>
          <w:szCs w:val="28"/>
          <w14:textFill>
            <w14:solidFill>
              <w14:schemeClr w14:val="tx1"/>
            </w14:solidFill>
          </w14:textFill>
        </w:rPr>
        <w:t>混凝土结构物实体最小尺寸等于或大于</w:t>
      </w:r>
      <w:r>
        <w:rPr>
          <w:rFonts w:hint="eastAsia"/>
          <w:color w:val="000000" w:themeColor="text1"/>
          <w:sz w:val="28"/>
          <w:szCs w:val="28"/>
          <w14:textFill>
            <w14:solidFill>
              <w14:schemeClr w14:val="tx1"/>
            </w14:solidFill>
          </w14:textFill>
        </w:rPr>
        <w:t>（    ），</w:t>
      </w:r>
      <w:r>
        <w:rPr>
          <w:color w:val="000000" w:themeColor="text1"/>
          <w:sz w:val="28"/>
          <w:szCs w:val="28"/>
          <w14:textFill>
            <w14:solidFill>
              <w14:schemeClr w14:val="tx1"/>
            </w14:solidFill>
          </w14:textFill>
        </w:rPr>
        <w:t>或预计会因水泥水化热引起混凝土内外温差过大而导致裂缝的混凝土</w:t>
      </w:r>
      <w:r>
        <w:rPr>
          <w:rFonts w:hint="eastAsia"/>
          <w:color w:val="000000" w:themeColor="text1"/>
          <w:sz w:val="28"/>
          <w:szCs w:val="28"/>
          <w14:textFill>
            <w14:solidFill>
              <w14:schemeClr w14:val="tx1"/>
            </w14:solidFill>
          </w14:textFill>
        </w:rPr>
        <w:t>。</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1m</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2m</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5m</w:t>
      </w:r>
    </w:p>
    <w:p>
      <w:pPr>
        <w:numPr>
          <w:ilvl w:val="1"/>
          <w:numId w:val="1"/>
        </w:num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10m</w:t>
      </w:r>
    </w:p>
    <w:p>
      <w:pPr>
        <w:numPr>
          <w:ilvl w:val="0"/>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大体积砼早期出现裂缝的主要原因是（    ）。</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砼构件出现内冷外热温差</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砼构件出现内热外冷温差</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砼构件与基底约束较大，产生较大的拉应力</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砼水灰比太大</w:t>
      </w:r>
    </w:p>
    <w:p>
      <w:pPr>
        <w:numPr>
          <w:ilvl w:val="0"/>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为防止大体积混凝土结构产生裂缝，降低混凝土的温度应力，应该采用的方法有（    ）。</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选用水化热高的水泥</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掺入适当粉煤灰</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加快浇筑速度</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增加水泥用量</w:t>
      </w:r>
    </w:p>
    <w:p>
      <w:pPr>
        <w:numPr>
          <w:ilvl w:val="0"/>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墩台混凝土水泥应优先选用（    ）。</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硅酸盐水泥</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矿渣硅酸盐水泥</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普通硅酸盐水泥</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高标号普通硅酸盐水泥</w:t>
      </w:r>
    </w:p>
    <w:p>
      <w:pPr>
        <w:numPr>
          <w:ilvl w:val="0"/>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当室外日平均气温连续5日稳定低于（    ）时，混凝土结构施工应采取冬期施工措施。</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0℃</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-20℃</w:t>
      </w:r>
    </w:p>
    <w:p>
      <w:pPr>
        <w:rPr>
          <w:b/>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4" w:num="4"/>
          <w:docGrid w:type="lines" w:linePitch="312" w:charSpace="0"/>
        </w:sectPr>
      </w:pPr>
    </w:p>
    <w:p>
      <w:pPr>
        <w:ind w:firstLine="3092" w:firstLineChars="1100"/>
        <w:rPr>
          <w:rFonts w:hint="eastAsia"/>
          <w:b/>
          <w:color w:val="000000" w:themeColor="text1"/>
          <w:sz w:val="28"/>
          <w:szCs w:val="28"/>
          <w14:textFill>
            <w14:solidFill>
              <w14:schemeClr w14:val="tx1"/>
            </w14:solidFill>
          </w14:textFill>
        </w:rPr>
      </w:pPr>
      <w:r>
        <w:rPr>
          <w:rFonts w:hint="eastAsia"/>
          <w:b/>
          <w:color w:val="000000" w:themeColor="text1"/>
          <w:sz w:val="28"/>
          <w:szCs w:val="28"/>
          <w:lang w:eastAsia="zh-CN"/>
          <w14:textFill>
            <w14:solidFill>
              <w14:schemeClr w14:val="tx1"/>
            </w14:solidFill>
          </w14:textFill>
        </w:rPr>
        <w:t>三、</w:t>
      </w:r>
      <w:r>
        <w:rPr>
          <w:rFonts w:hint="eastAsia"/>
          <w:b/>
          <w:color w:val="000000" w:themeColor="text1"/>
          <w:sz w:val="28"/>
          <w:szCs w:val="28"/>
          <w14:textFill>
            <w14:solidFill>
              <w14:schemeClr w14:val="tx1"/>
            </w14:solidFill>
          </w14:textFill>
        </w:rPr>
        <w:t>结构安装工程</w:t>
      </w:r>
    </w:p>
    <w:p>
      <w:pPr>
        <w:numPr>
          <w:ilvl w:val="0"/>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下列关于汽车式起重机的特点叙述不正确的是（    ）。</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行驶速度较高</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对路面破坏小</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适合在松软或泥泞的地面上工作</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不能负荷行驶</w:t>
      </w:r>
    </w:p>
    <w:p>
      <w:pPr>
        <w:numPr>
          <w:ilvl w:val="0"/>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以下描述不正确的是（    ）</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附着式塔式起重机司机能看到吊装的全过程</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附着式塔式起重机司机不能看到吊装的全过程</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爬升式塔式起重机不能看到吊装的全过程</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爬升式塔式起重机施工结束后拆卸复杂</w:t>
      </w:r>
    </w:p>
    <w:p>
      <w:pPr>
        <w:numPr>
          <w:ilvl w:val="0"/>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drawing>
          <wp:anchor distT="0" distB="0" distL="114300" distR="114300" simplePos="0" relativeHeight="251659264" behindDoc="0" locked="0" layoutInCell="1" allowOverlap="1">
            <wp:simplePos x="0" y="0"/>
            <wp:positionH relativeFrom="column">
              <wp:posOffset>2971800</wp:posOffset>
            </wp:positionH>
            <wp:positionV relativeFrom="paragraph">
              <wp:posOffset>0</wp:posOffset>
            </wp:positionV>
            <wp:extent cx="1242060" cy="899795"/>
            <wp:effectExtent l="0" t="0" r="15240" b="14605"/>
            <wp:wrapNone/>
            <wp:docPr id="1" name="图片 2" descr="越野轮胎起重机 - SRC550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越野轮胎起重机 - SRC550H"/>
                    <pic:cNvPicPr>
                      <a:picLocks noChangeAspect="1"/>
                    </pic:cNvPicPr>
                  </pic:nvPicPr>
                  <pic:blipFill>
                    <a:blip r:embed="rId4"/>
                    <a:stretch>
                      <a:fillRect/>
                    </a:stretch>
                  </pic:blipFill>
                  <pic:spPr>
                    <a:xfrm>
                      <a:off x="0" y="0"/>
                      <a:ext cx="1242060" cy="899795"/>
                    </a:xfrm>
                    <a:prstGeom prst="rect">
                      <a:avLst/>
                    </a:prstGeom>
                    <a:noFill/>
                    <a:ln w="9525">
                      <a:noFill/>
                    </a:ln>
                  </pic:spPr>
                </pic:pic>
              </a:graphicData>
            </a:graphic>
          </wp:anchor>
        </w:drawing>
      </w:r>
      <w:r>
        <w:rPr>
          <w:rFonts w:hint="eastAsia"/>
          <w:color w:val="000000" w:themeColor="text1"/>
          <w:sz w:val="28"/>
          <w:szCs w:val="28"/>
          <w14:textFill>
            <w14:solidFill>
              <w14:schemeClr w14:val="tx1"/>
            </w14:solidFill>
          </w14:textFill>
        </w:rPr>
        <w:t>右图中所示起重机是______起重机。（    ）</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汽车起重机</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履带起重机</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轮胎起重机</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随车起重机</w:t>
      </w:r>
    </w:p>
    <w:p>
      <w:pPr>
        <w:numPr>
          <w:ilvl w:val="0"/>
          <w:numId w:val="1"/>
        </w:numPr>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anchor distT="0" distB="0" distL="114300" distR="114300" simplePos="0" relativeHeight="251660288" behindDoc="0" locked="0" layoutInCell="1" allowOverlap="1">
            <wp:simplePos x="0" y="0"/>
            <wp:positionH relativeFrom="column">
              <wp:posOffset>3543300</wp:posOffset>
            </wp:positionH>
            <wp:positionV relativeFrom="paragraph">
              <wp:posOffset>198120</wp:posOffset>
            </wp:positionV>
            <wp:extent cx="1727835" cy="1079500"/>
            <wp:effectExtent l="0" t="0" r="5715" b="6350"/>
            <wp:wrapNone/>
            <wp:docPr id="2" name="图片 3" descr="101103171936594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01103171936594268"/>
                    <pic:cNvPicPr>
                      <a:picLocks noChangeAspect="1"/>
                    </pic:cNvPicPr>
                  </pic:nvPicPr>
                  <pic:blipFill>
                    <a:blip r:embed="rId5"/>
                    <a:stretch>
                      <a:fillRect/>
                    </a:stretch>
                  </pic:blipFill>
                  <pic:spPr>
                    <a:xfrm>
                      <a:off x="0" y="0"/>
                      <a:ext cx="1727835" cy="1079500"/>
                    </a:xfrm>
                    <a:prstGeom prst="rect">
                      <a:avLst/>
                    </a:prstGeom>
                    <a:noFill/>
                    <a:ln w="9525">
                      <a:noFill/>
                    </a:ln>
                  </pic:spPr>
                </pic:pic>
              </a:graphicData>
            </a:graphic>
          </wp:anchor>
        </w:drawing>
      </w:r>
      <w:r>
        <w:rPr>
          <w:rFonts w:hint="eastAsia"/>
          <w:color w:val="000000" w:themeColor="text1"/>
          <w:sz w:val="28"/>
          <w:szCs w:val="28"/>
          <w14:textFill>
            <w14:solidFill>
              <w14:schemeClr w14:val="tx1"/>
            </w14:solidFill>
          </w14:textFill>
        </w:rPr>
        <w:t>右图中的塔式起重机是国内当前应用最为广泛的一种塔机。以下描述不正确的是（    ）。</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它是上回转式塔机</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它是平头式塔机</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它是小车变幅塔机</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它是自升式塔机</w:t>
      </w:r>
    </w:p>
    <w:p>
      <w:pPr>
        <w:numPr>
          <w:ilvl w:val="0"/>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下列关于QTZ63（TC5013）型塔机描述不正确的是（    ）。</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它是快装式塔机</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公称起重力矩约为63t·m</w:t>
      </w:r>
    </w:p>
    <w:p>
      <w:pPr>
        <w:numPr>
          <w:ilvl w:val="1"/>
          <w:numId w:val="1"/>
        </w:num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最大幅度约50m</w:t>
      </w:r>
    </w:p>
    <w:p>
      <w:pPr>
        <w:numPr>
          <w:ilvl w:val="1"/>
          <w:numId w:val="1"/>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最大幅度处起重量约为1.3t</w:t>
      </w:r>
    </w:p>
    <w:p>
      <w:pPr>
        <w:rPr>
          <w:color w:val="000000" w:themeColor="text1"/>
          <w:sz w:val="28"/>
          <w:szCs w:val="28"/>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pPr>
        <w:rPr>
          <w:rFonts w:hint="eastAsia"/>
          <w:color w:val="000000" w:themeColor="text1"/>
          <w:sz w:val="28"/>
          <w:szCs w:val="28"/>
          <w14:textFill>
            <w14:solidFill>
              <w14:schemeClr w14:val="tx1"/>
            </w14:solidFill>
          </w14:textFill>
        </w:rPr>
      </w:pPr>
    </w:p>
    <w:p>
      <w:pPr>
        <w:jc w:val="center"/>
        <w:rPr>
          <w:rFonts w:hint="eastAsia"/>
          <w:color w:val="000000" w:themeColor="text1"/>
          <w:sz w:val="28"/>
          <w:szCs w:val="28"/>
          <w:lang w:val="en-US" w:eastAsia="zh-CN"/>
          <w14:textFill>
            <w14:solidFill>
              <w14:schemeClr w14:val="tx1"/>
            </w14:solidFill>
          </w14:textFill>
        </w:rPr>
      </w:pPr>
    </w:p>
    <w:p>
      <w:pPr>
        <w:rPr>
          <w:color w:val="000000" w:themeColor="text1"/>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215EE"/>
    <w:multiLevelType w:val="multilevel"/>
    <w:tmpl w:val="584215EE"/>
    <w:lvl w:ilvl="0" w:tentative="0">
      <w:start w:val="1"/>
      <w:numFmt w:val="decimal"/>
      <w:lvlText w:val="%1."/>
      <w:lvlJc w:val="left"/>
      <w:pPr>
        <w:tabs>
          <w:tab w:val="left" w:pos="420"/>
        </w:tabs>
        <w:ind w:left="420" w:hanging="420"/>
      </w:pPr>
    </w:lvl>
    <w:lvl w:ilvl="1" w:tentative="0">
      <w:start w:val="1"/>
      <w:numFmt w:val="upperLetter"/>
      <w:lvlText w:val="%2."/>
      <w:lvlJc w:val="left"/>
      <w:pPr>
        <w:tabs>
          <w:tab w:val="left" w:pos="780"/>
        </w:tabs>
        <w:ind w:left="780" w:hanging="42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92CC7"/>
    <w:rsid w:val="56092CC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2018-11-29T03:08:00Z</dcterms:created>
  <dc:creator>Administrator</dc:creator>
  <cp:lastModifiedBy>Administrator</cp:lastModifiedBy>
  <dcterms:modified xsi:type="dcterms:W3CDTF">2018-11-29T03:10:13Z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