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</w:t>
      </w:r>
    </w:p>
    <w:p>
      <w:pPr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考 试 大 纲</w:t>
      </w:r>
    </w:p>
    <w:p>
      <w:pPr>
        <w:jc w:val="center"/>
        <w:rPr>
          <w:rFonts w:ascii="宋体" w:hAnsi="宋体" w:eastAsia="宋体" w:cs="宋体"/>
          <w:b/>
          <w:szCs w:val="21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（2018年秋季学期）</w:t>
      </w:r>
    </w:p>
    <w:p>
      <w:pPr>
        <w:rPr>
          <w:rFonts w:ascii="华文隶书" w:eastAsia="华文隶书"/>
          <w:sz w:val="48"/>
          <w:szCs w:val="48"/>
        </w:rPr>
      </w:pPr>
    </w:p>
    <w:tbl>
      <w:tblPr>
        <w:tblStyle w:val="11"/>
        <w:tblW w:w="65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524"/>
        <w:gridCol w:w="1502"/>
        <w:gridCol w:w="1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园林规划设计原理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  程  代  码：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04010820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  属  学  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园林工程技术教研室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  课  教  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制  订  日  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 制</w:t>
      </w: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2018年7月20日</w:t>
      </w:r>
    </w:p>
    <w:p>
      <w:pPr>
        <w:rPr>
          <w:rFonts w:ascii="黑体" w:hAnsi="黑体" w:eastAsia="黑体" w:cs="黑体"/>
          <w:sz w:val="28"/>
          <w:szCs w:val="36"/>
        </w:rPr>
      </w:pPr>
    </w:p>
    <w:p>
      <w:pPr>
        <w:rPr>
          <w:rFonts w:ascii="黑体" w:hAnsi="黑体" w:eastAsia="黑体" w:cs="黑体"/>
          <w:sz w:val="28"/>
          <w:szCs w:val="36"/>
        </w:rPr>
      </w:pPr>
    </w:p>
    <w:p>
      <w:pPr>
        <w:rPr>
          <w:rFonts w:ascii="黑体" w:hAnsi="黑体" w:eastAsia="黑体" w:cs="黑体"/>
          <w:sz w:val="28"/>
          <w:szCs w:val="36"/>
        </w:rPr>
      </w:pPr>
    </w:p>
    <w:p>
      <w:pPr>
        <w:rPr>
          <w:rFonts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《园林规划设计原理》考试大纲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考试对象：</w:t>
      </w: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2016级园林工程技术专业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考试内容和要求：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第一部分：概念设计（20%）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主要考核内容：基地分析、设计原则、理念、设计构思。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第二部分：任务1、方案设计（40%）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主要考核内容：方案设计的原创性，创新性、合理性。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第三部分：任务2、表达构思的分析图（20%）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主要考核内容：功能分区分析图、交通分析图、景观分析图。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第四部分：任务3、空间形态表现（20%）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主要考核内容：透视准确性、空间布局的合理性、空间比例及尺寸。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三、考试形式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1、《园林规划设计原理》分1学期完成教学。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2、考试形式：实训操作、作品展示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3、考试时间：180分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4、试卷分值：100分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5、成绩评定方式：平时成绩50%；期末成绩50%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四、试题结构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1、题型比例：基础题40%；技能应用题30%；创新表现题30%。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五、参考书目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《园林规划设计 理论篇》（第三版）.胡长龙 中国农业</w:t>
      </w:r>
      <w:r>
        <w:rPr>
          <w:rFonts w:hint="eastAsia" w:ascii="仿宋" w:hAnsi="仿宋" w:eastAsia="仿宋" w:cs="仿宋"/>
          <w:bCs/>
          <w:sz w:val="24"/>
          <w:szCs w:val="24"/>
        </w:rPr>
        <w:t>出版社</w:t>
      </w:r>
    </w:p>
    <w:p>
      <w:pPr>
        <w:spacing w:line="400" w:lineRule="exact"/>
        <w:ind w:firstLine="480" w:firstLineChars="200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《风景园林艺术原理》.张俊</w:t>
      </w:r>
      <w:r>
        <w:rPr>
          <w:rStyle w:val="20"/>
          <w:rFonts w:hint="eastAsia" w:ascii="仿宋" w:hAnsi="仿宋" w:eastAsia="仿宋" w:cs="仿宋"/>
          <w:b w:val="0"/>
          <w:bCs w:val="0"/>
          <w:sz w:val="24"/>
          <w:szCs w:val="24"/>
        </w:rPr>
        <w:t>玲 王先杰  中国林业出版社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420" w:left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jc w:val="left"/>
        <w:rPr>
          <w:rStyle w:val="20"/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ascii="新宋体" w:hAnsi="新宋体" w:eastAsia="新宋体"/>
          <w:sz w:val="24"/>
        </w:rPr>
      </w:pPr>
    </w:p>
    <w:p>
      <w:pPr>
        <w:spacing w:line="360" w:lineRule="auto"/>
        <w:jc w:val="left"/>
        <w:rPr>
          <w:rFonts w:ascii="新宋体" w:hAnsi="新宋体" w:eastAsia="新宋体"/>
          <w:sz w:val="24"/>
        </w:rPr>
      </w:pPr>
    </w:p>
    <w:p>
      <w:pPr>
        <w:spacing w:line="360" w:lineRule="auto"/>
        <w:jc w:val="left"/>
        <w:rPr>
          <w:rFonts w:ascii="新宋体" w:hAnsi="新宋体" w:eastAsia="新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30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ODjMRAgAACQQAAA4AAABkcnMvZTJvRG9jLnhtbK1TzY7TMBC+I/EO&#10;lu80aRdW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DXV5RoprCj0/dvpx+/Tj+/EvhAUGv9DHkbi8zQvTUdFj34PZxx&#10;7q5yKn4xEUEcVB8v9IouEB4vTSfTaY4QR2z4AX72eN06H94Jo0g0Cuqwv0QrO6x96FOHlFhNm1Uj&#10;Zdqh1KQt6PXVm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A44OMx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EB99"/>
    <w:multiLevelType w:val="singleLevel"/>
    <w:tmpl w:val="5962EB9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75"/>
    <w:rsid w:val="00081D75"/>
    <w:rsid w:val="0017289A"/>
    <w:rsid w:val="001E17A5"/>
    <w:rsid w:val="001E3940"/>
    <w:rsid w:val="00205B86"/>
    <w:rsid w:val="00211078"/>
    <w:rsid w:val="002A2BA0"/>
    <w:rsid w:val="0037179F"/>
    <w:rsid w:val="003849AE"/>
    <w:rsid w:val="0043723B"/>
    <w:rsid w:val="004A7C99"/>
    <w:rsid w:val="004F25BD"/>
    <w:rsid w:val="0050218D"/>
    <w:rsid w:val="005111D1"/>
    <w:rsid w:val="00533BC2"/>
    <w:rsid w:val="0056323C"/>
    <w:rsid w:val="005D6CF9"/>
    <w:rsid w:val="005F43F5"/>
    <w:rsid w:val="006E0132"/>
    <w:rsid w:val="0074244B"/>
    <w:rsid w:val="007A00BE"/>
    <w:rsid w:val="007B5EA2"/>
    <w:rsid w:val="008445B3"/>
    <w:rsid w:val="0085701E"/>
    <w:rsid w:val="00930418"/>
    <w:rsid w:val="009473FC"/>
    <w:rsid w:val="00953E6E"/>
    <w:rsid w:val="009A2B9F"/>
    <w:rsid w:val="00A70395"/>
    <w:rsid w:val="00B6379C"/>
    <w:rsid w:val="00B668D7"/>
    <w:rsid w:val="00BC5675"/>
    <w:rsid w:val="00C000BA"/>
    <w:rsid w:val="00C71B15"/>
    <w:rsid w:val="00D046E3"/>
    <w:rsid w:val="00D539F8"/>
    <w:rsid w:val="00D947EB"/>
    <w:rsid w:val="00DB7C6A"/>
    <w:rsid w:val="00DC0E36"/>
    <w:rsid w:val="00E870AF"/>
    <w:rsid w:val="00EC633F"/>
    <w:rsid w:val="00EE1D92"/>
    <w:rsid w:val="01841429"/>
    <w:rsid w:val="03C54EEB"/>
    <w:rsid w:val="07B55614"/>
    <w:rsid w:val="16FF6C86"/>
    <w:rsid w:val="19123FD1"/>
    <w:rsid w:val="1C0A6EB9"/>
    <w:rsid w:val="1C4D6A18"/>
    <w:rsid w:val="1C7634F9"/>
    <w:rsid w:val="22AF07BC"/>
    <w:rsid w:val="24816542"/>
    <w:rsid w:val="2BA40CC0"/>
    <w:rsid w:val="2FED22DA"/>
    <w:rsid w:val="37945EF7"/>
    <w:rsid w:val="38B4075E"/>
    <w:rsid w:val="3EBE623E"/>
    <w:rsid w:val="40866772"/>
    <w:rsid w:val="419E645B"/>
    <w:rsid w:val="485C2027"/>
    <w:rsid w:val="4C322D98"/>
    <w:rsid w:val="59E70CEB"/>
    <w:rsid w:val="5F8A537F"/>
    <w:rsid w:val="62181CDD"/>
    <w:rsid w:val="694F5A32"/>
    <w:rsid w:val="74833325"/>
    <w:rsid w:val="7F6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unhideWhenUsed/>
    <w:qFormat/>
    <w:uiPriority w:val="99"/>
    <w:rPr>
      <w:color w:val="0163A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6">
    <w:name w:val="_Style 2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7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9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2 Char"/>
    <w:basedOn w:val="8"/>
    <w:qFormat/>
    <w:uiPriority w:val="2"/>
    <w:rPr>
      <w:rFonts w:ascii="黑体" w:eastAsia="黑体"/>
      <w:b/>
      <w:bCs/>
      <w:iCs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185</Pages>
  <Words>13804</Words>
  <Characters>78687</Characters>
  <Lines>655</Lines>
  <Paragraphs>184</Paragraphs>
  <TotalTime>6</TotalTime>
  <ScaleCrop>false</ScaleCrop>
  <LinksUpToDate>false</LinksUpToDate>
  <CharactersWithSpaces>92307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2017-06-28T02:53:00Z</dcterms:created>
  <dc:creator>lts</dc:creator>
  <cp:lastModifiedBy>小乌龟</cp:lastModifiedBy>
  <dcterms:modified xsi:type="dcterms:W3CDTF">2019-01-23T03:42:53Z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